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May 4, 2026</w:t>
      </w:r>
    </w:p>
    <w:p>
      <w:pPr>
        <w:pStyle w:val="TextBody"/>
        <w:bidi w:val="0"/>
        <w:spacing w:lineRule="auto" w:line="288" w:before="200" w:after="283"/>
        <w:jc w:val="center"/>
        <w:rPr>
          <w:rFonts w:ascii="Times New Roman;serif" w:hAnsi="Times New Roman;serif"/>
          <w:b/>
          <w:color w:val="000000"/>
          <w:sz w:val="36"/>
          <w:u w:val="single"/>
        </w:rPr>
      </w:pPr>
      <w:r>
        <w:rPr>
          <w:rFonts w:ascii="Times New Roman;serif" w:hAnsi="Times New Roman;serif"/>
          <w:b/>
          <w:color w:val="000000"/>
          <w:sz w:val="36"/>
          <w:u w:val="single"/>
        </w:rPr>
        <w:t>CALIBERCOS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5532" w:type="dxa"/>
        <w:jc w:val="left"/>
        <w:tblInd w:w="0" w:type="dxa"/>
        <w:tblLayout w:type="fixed"/>
        <w:tblCellMar>
          <w:top w:w="28" w:type="dxa"/>
          <w:left w:w="28" w:type="dxa"/>
          <w:bottom w:w="28" w:type="dxa"/>
          <w:right w:w="28" w:type="dxa"/>
        </w:tblCellMar>
      </w:tblPr>
      <w:tblGrid>
        <w:gridCol w:w="837"/>
        <w:gridCol w:w="733"/>
        <w:gridCol w:w="740"/>
        <w:gridCol w:w="109"/>
        <w:gridCol w:w="109"/>
        <w:gridCol w:w="109"/>
        <w:gridCol w:w="845"/>
        <w:gridCol w:w="845"/>
        <w:gridCol w:w="1205"/>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001-41703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47-2426901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802" w:type="dxa"/>
        <w:jc w:val="left"/>
        <w:tblInd w:w="0" w:type="dxa"/>
        <w:tblLayout w:type="fixed"/>
        <w:tblCellMar>
          <w:top w:w="28" w:type="dxa"/>
          <w:left w:w="28" w:type="dxa"/>
          <w:bottom w:w="28" w:type="dxa"/>
          <w:right w:w="28" w:type="dxa"/>
        </w:tblCellMar>
      </w:tblPr>
      <w:tblGrid>
        <w:gridCol w:w="1605"/>
        <w:gridCol w:w="1413"/>
        <w:gridCol w:w="1422"/>
        <w:gridCol w:w="109"/>
        <w:gridCol w:w="109"/>
        <w:gridCol w:w="109"/>
        <w:gridCol w:w="303"/>
        <w:gridCol w:w="303"/>
        <w:gridCol w:w="429"/>
      </w:tblGrid>
      <w:tr>
        <w:trPr/>
        <w:tc>
          <w:tcPr>
            <w:tcW w:w="16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85258</w:t>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(480) 295-7600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ind w:left="0" w:right="0" w:firstLine="36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93" w:type="dxa"/>
        <w:jc w:val="left"/>
        <w:tblInd w:w="0" w:type="dxa"/>
        <w:tblLayout w:type="fixed"/>
        <w:tblCellMar>
          <w:top w:w="28" w:type="dxa"/>
          <w:left w:w="28" w:type="dxa"/>
          <w:bottom w:w="28" w:type="dxa"/>
          <w:right w:w="28" w:type="dxa"/>
        </w:tblCellMar>
      </w:tblPr>
      <w:tblGrid>
        <w:gridCol w:w="1263"/>
        <w:gridCol w:w="1109"/>
        <w:gridCol w:w="1122"/>
        <w:gridCol w:w="524"/>
        <w:gridCol w:w="524"/>
        <w:gridCol w:w="52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CWD</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May 4, 2026, CaliberCos Inc. announced that it will release its first quarter 2026 financial results after the close of the market on Wednesday, May 13, 2026.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information disclosed under this Item 7.01, including Exhibit 99.1 attached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ex_991xq126earningscalland.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xq126earningscalland.htm">
              <w:r>
                <w:rPr>
                  <w:rStyle w:val="InternetLink"/>
                  <w:rFonts w:ascii="Times New Roman;serif" w:hAnsi="Times New Roman;serif"/>
                  <w:b w:val="false"/>
                  <w:color w:val="0000FF"/>
                  <w:sz w:val="20"/>
                  <w:u w:val="single"/>
                </w:rPr>
                <w:t>Press release dated May 4,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76" w:type="dxa"/>
        <w:jc w:val="left"/>
        <w:tblInd w:w="0" w:type="dxa"/>
        <w:tblLayout w:type="fixed"/>
        <w:tblCellMar>
          <w:top w:w="28" w:type="dxa"/>
          <w:left w:w="28" w:type="dxa"/>
          <w:bottom w:w="28" w:type="dxa"/>
          <w:right w:w="28" w:type="dxa"/>
        </w:tblCellMar>
      </w:tblPr>
      <w:tblGrid>
        <w:gridCol w:w="591"/>
        <w:gridCol w:w="520"/>
        <w:gridCol w:w="523"/>
        <w:gridCol w:w="229"/>
        <w:gridCol w:w="229"/>
        <w:gridCol w:w="229"/>
        <w:gridCol w:w="948"/>
        <w:gridCol w:w="948"/>
        <w:gridCol w:w="135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CaliberCos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Loeffler, II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Loeffler, II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drawing>
          <wp:inline distT="0" distB="0" distL="0" distR="0">
            <wp:extent cx="2619375" cy="1209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19375" cy="1209675"/>
                    </a:xfrm>
                    <a:prstGeom prst="rect">
                      <a:avLst/>
                    </a:prstGeom>
                  </pic:spPr>
                </pic:pic>
              </a:graphicData>
            </a:graphic>
          </wp:inline>
        </w:drawing>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Caliber Sets Date for First Quarter 2026 Earnings Announcement &amp; Investor Conference Call </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color w:val="000000"/>
          <w:sz w:val="24"/>
        </w:rPr>
        <w:t xml:space="preserve">SCOTTSDALE, AZ, May 4, 2026 (GLOBE NEWSWIRE) </w:t>
      </w:r>
      <w:r>
        <w:rPr>
          <w:color w:val="252525"/>
        </w:rPr>
        <w:t xml:space="preserve">– </w:t>
      </w:r>
      <w:r>
        <w:rPr>
          <w:rFonts w:ascii="Times New Roman;serif" w:hAnsi="Times New Roman;serif"/>
          <w:b w:val="false"/>
          <w:color w:val="0000FF"/>
          <w:sz w:val="24"/>
          <w:u w:val="single"/>
        </w:rPr>
        <w:t>Caliber</w:t>
      </w:r>
      <w:r>
        <w:rPr>
          <w:color w:val="000000"/>
        </w:rPr>
        <w:t xml:space="preserve"> </w:t>
      </w:r>
      <w:r>
        <w:rPr>
          <w:rFonts w:ascii="Times New Roman;serif" w:hAnsi="Times New Roman;serif"/>
          <w:b w:val="false"/>
          <w:color w:val="252525"/>
          <w:sz w:val="24"/>
        </w:rPr>
        <w:t xml:space="preserve">(NASDAQ: CWD), a diversified real estate and digital asset management platform, today announced that it will release its first quarter 2026 financial results after the close of the stock market on Wednesday, May 13, 2026. Management invites all interested parties to its webcast/conference call the same day at 5:00 pm ET to discuss the results.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 xml:space="preserve">Investors and interested parties can access the live earnings call by dialing (800) 715-9871 (domestic) or (646) 307-1963 (international) and ask to join the Caliber call or use conference ID 5168652.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 xml:space="preserve">To listen to the call online, investors can visit the investor relations page of Caliber’s website at https://ir.caliberco.com/. The webcast replay of the conference call will be available on Caliber’s website shortly after the call concludes.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252525"/>
          <w:sz w:val="24"/>
        </w:rPr>
      </w:pPr>
      <w:r>
        <w:rPr>
          <w:rFonts w:ascii="Times New Roman;serif" w:hAnsi="Times New Roman;serif"/>
          <w:b/>
          <w:color w:val="252525"/>
          <w:sz w:val="24"/>
        </w:rPr>
        <w:t xml:space="preserve">Additional details: </w:t>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 xml:space="preserve">The news release and presentation materials will also be available on the Investor Relations site under "Financial Results".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252525"/>
          <w:sz w:val="24"/>
        </w:rPr>
      </w:pPr>
      <w:r>
        <w:rPr>
          <w:rFonts w:ascii="Times New Roman;serif" w:hAnsi="Times New Roman;serif"/>
          <w:b/>
          <w:color w:val="252525"/>
          <w:sz w:val="24"/>
        </w:rPr>
        <w:t xml:space="preserve">About Caliber (CaliberCos Inc.) </w:t>
      </w:r>
    </w:p>
    <w:p>
      <w:pPr>
        <w:pStyle w:val="TextBody"/>
        <w:bidi w:val="0"/>
        <w:spacing w:lineRule="auto" w:line="319"/>
        <w:jc w:val="both"/>
        <w:rPr>
          <w:rFonts w:ascii="Times New Roman;serif" w:hAnsi="Times New Roman;serif"/>
          <w:b w:val="false"/>
          <w:color w:val="252525"/>
          <w:sz w:val="24"/>
        </w:rPr>
      </w:pPr>
      <w:r>
        <w:rPr>
          <w:rFonts w:ascii="Times New Roman;serif" w:hAnsi="Times New Roman;serif"/>
          <w:b w:val="false"/>
          <w:color w:val="252525"/>
          <w:sz w:val="24"/>
        </w:rPr>
        <w:t xml:space="preserve">Caliber (Nasdaq: CWD) is a real estate-focused alternative asset manager with over $2.6 billion in Managed Assets and a 17-year track record investing in middle-market hospitality and multifamily real estate. The Company operates an institutional-quality asset management platform paired with a boutique, hands-on investment approach focused on value creation in underserved market segments. In 2025, Caliber integrated digital asset infrastructure into its platform by investing in LINK, the token underlying Chainlink, a key technology enabling real estate fund tokenization, and is implementing blockchain and tokenization strategies across its investment platform to enhance how assets are financed, owned, and accessed. Investors can participate in Caliber through its publicly traded equity (Nasdaq: CWD), which provides exposure to both its real estate platform and digital asset holdings, and through its private real estate investment funds for accredited investors and financial professionals.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color w:val="252525"/>
          <w:sz w:val="24"/>
        </w:rPr>
      </w:pPr>
      <w:r>
        <w:rPr>
          <w:rFonts w:ascii="Times New Roman;serif" w:hAnsi="Times New Roman;serif"/>
          <w:b/>
          <w:color w:val="252525"/>
          <w:sz w:val="24"/>
        </w:rPr>
        <w:t xml:space="preserve">Forward-Looking Statements </w:t>
      </w:r>
    </w:p>
    <w:p>
      <w:pPr>
        <w:pStyle w:val="TextBody"/>
        <w:bidi w:val="0"/>
        <w:spacing w:lineRule="auto" w:line="319" w:before="0" w:after="0"/>
        <w:jc w:val="both"/>
        <w:rPr>
          <w:rFonts w:ascii="Times New Roman;serif" w:hAnsi="Times New Roman;serif"/>
          <w:b w:val="false"/>
          <w:color w:val="252525"/>
          <w:sz w:val="24"/>
        </w:rPr>
      </w:pPr>
      <w:r>
        <w:rPr>
          <w:rFonts w:ascii="Times New Roman;serif" w:hAnsi="Times New Roman;serif"/>
          <w:b w:val="false"/>
          <w:color w:val="252525"/>
          <w:sz w:val="24"/>
        </w:rPr>
        <w:t>This press release contains “forward-looking statements”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“target,” “aim,” “should,” "will” “would,” or the negative of these words or other similar expressions, although not all forward-looking statements contain these words.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These and other risks and uncertainties are described more fully in the section titled “Risk Factors” in the final prospectus related to the Company’s public offering filed with the SEC and other reports filed with the SEC thereafter. Forward-looking statements contained in this announcement are made as of this date, and the Company undertakes no duty to update such information except as required under applicable law.</w:t>
      </w:r>
    </w:p>
    <w:p>
      <w:pPr>
        <w:pStyle w:val="TextBody"/>
        <w:bidi w:val="0"/>
        <w:spacing w:before="0" w:after="0"/>
        <w:jc w:val="both"/>
        <w:rPr/>
      </w:pPr>
      <w:r>
        <w:rPr/>
      </w:r>
    </w:p>
    <w:p>
      <w:pPr>
        <w:pStyle w:val="TextBody"/>
        <w:bidi w:val="0"/>
        <w:spacing w:lineRule="auto" w:line="307" w:before="0" w:after="0"/>
        <w:jc w:val="both"/>
        <w:rPr/>
      </w:pPr>
      <w:r>
        <w:rPr>
          <w:rFonts w:ascii="Times New Roman;serif" w:hAnsi="Times New Roman;serif"/>
          <w:b/>
          <w:color w:val="252525"/>
          <w:sz w:val="24"/>
          <w:shd w:fill="FFFFFF" w:val="clear"/>
        </w:rPr>
        <w:t>CONTACTS</w:t>
      </w:r>
      <w:r>
        <w:rPr>
          <w:rFonts w:ascii="Times New Roman;serif" w:hAnsi="Times New Roman;serif"/>
          <w:b w:val="false"/>
          <w:color w:val="252525"/>
          <w:sz w:val="24"/>
          <w:shd w:fill="FFFFFF" w:val="clear"/>
        </w:rPr>
        <w:t>:</w:t>
      </w:r>
    </w:p>
    <w:p>
      <w:pPr>
        <w:pStyle w:val="TextBody"/>
        <w:bidi w:val="0"/>
        <w:spacing w:lineRule="auto" w:line="307" w:before="0" w:after="0"/>
        <w:jc w:val="both"/>
        <w:rPr>
          <w:rFonts w:ascii="Times New Roman;serif" w:hAnsi="Times New Roman;serif"/>
          <w:b w:val="false"/>
          <w:color w:val="252525"/>
          <w:sz w:val="24"/>
          <w:shd w:fill="FFFFFF" w:val="clear"/>
        </w:rPr>
      </w:pPr>
      <w:r>
        <w:rPr>
          <w:rFonts w:ascii="Times New Roman;serif" w:hAnsi="Times New Roman;serif"/>
          <w:b w:val="false"/>
          <w:color w:val="252525"/>
          <w:sz w:val="24"/>
          <w:shd w:fill="FFFFFF" w:val="clear"/>
        </w:rPr>
        <w:t>Caliber Investor Relations:</w:t>
      </w:r>
    </w:p>
    <w:p>
      <w:pPr>
        <w:pStyle w:val="TextBody"/>
        <w:bidi w:val="0"/>
        <w:spacing w:lineRule="auto" w:line="319" w:before="0" w:after="0"/>
        <w:jc w:val="left"/>
        <w:rPr>
          <w:rFonts w:ascii="Times New Roman;serif" w:hAnsi="Times New Roman;serif"/>
          <w:b w:val="false"/>
          <w:color w:val="252525"/>
          <w:sz w:val="24"/>
        </w:rPr>
      </w:pPr>
      <w:r>
        <w:rPr>
          <w:rFonts w:ascii="Times New Roman;serif" w:hAnsi="Times New Roman;serif"/>
          <w:b w:val="false"/>
          <w:color w:val="252525"/>
          <w:sz w:val="24"/>
        </w:rPr>
        <w:t>Ilya Grozovsky</w:t>
      </w:r>
    </w:p>
    <w:p>
      <w:pPr>
        <w:pStyle w:val="TextBody"/>
        <w:bidi w:val="0"/>
        <w:spacing w:lineRule="auto" w:line="319" w:before="0" w:after="0"/>
        <w:jc w:val="left"/>
        <w:rPr>
          <w:rFonts w:ascii="Times New Roman;serif" w:hAnsi="Times New Roman;serif"/>
          <w:b w:val="false"/>
          <w:color w:val="252525"/>
          <w:sz w:val="24"/>
        </w:rPr>
      </w:pPr>
      <w:r>
        <w:rPr>
          <w:rFonts w:ascii="Times New Roman;serif" w:hAnsi="Times New Roman;serif"/>
          <w:b w:val="false"/>
          <w:color w:val="252525"/>
          <w:sz w:val="24"/>
        </w:rPr>
        <w:t>+1 480-214-1915</w:t>
      </w:r>
    </w:p>
    <w:p>
      <w:pPr>
        <w:pStyle w:val="TextBody"/>
        <w:bidi w:val="0"/>
        <w:spacing w:lineRule="auto" w:line="319"/>
        <w:jc w:val="left"/>
        <w:rPr>
          <w:rFonts w:ascii="Times New Roman;serif" w:hAnsi="Times New Roman;serif"/>
          <w:b w:val="false"/>
          <w:color w:val="252525"/>
          <w:sz w:val="24"/>
          <w:u w:val="single"/>
        </w:rPr>
      </w:pPr>
      <w:r>
        <w:rPr>
          <w:rFonts w:ascii="Times New Roman;serif" w:hAnsi="Times New Roman;serif"/>
          <w:b w:val="false"/>
          <w:color w:val="252525"/>
          <w:sz w:val="24"/>
          <w:u w:val="single"/>
        </w:rPr>
        <w:t>Ilya@CaliberCo.com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1001</Words>
  <Characters>5736</Characters>
  <CharactersWithSpaces>6668</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