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5, 2026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CALIBERCOS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001-41703</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w w:val="98"/>
              </w:rPr>
              <w:t>47-2426901</w:t>
            </w:r>
          </w:p>
        </w:tc>
      </w:tr>
      <w:tr>
        <w:trPr>
          <w:trHeight w:val="198"/>
        </w:trPr>
        <w:tc>
          <w:tcPr>
            <w:tcW w:w="556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540" w:type="dxa"/>
            <w:vAlign w:val="bottom"/>
          </w:tcPr>
          <w:p>
            <w:pPr>
              <w:jc w:val="center"/>
              <w:ind w:right="199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54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770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8901 E. Mountain View Rd. Ste. 150, Scottsdale, AZ</w:t>
            </w:r>
          </w:p>
        </w:tc>
        <w:tc>
          <w:tcPr>
            <w:tcW w:w="354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85258</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gridSpan w:val="3"/>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7700" w:type="dxa"/>
            <w:vAlign w:val="bottom"/>
            <w:gridSpan w:val="5"/>
          </w:tcPr>
          <w:p>
            <w:pPr>
              <w:jc w:val="right"/>
              <w:ind w:right="1520"/>
              <w:spacing w:after="0"/>
              <w:rPr>
                <w:sz w:val="20"/>
                <w:szCs w:val="20"/>
                <w:color w:val="auto"/>
              </w:rPr>
            </w:pPr>
            <w:r>
              <w:rPr>
                <w:rFonts w:ascii="Times New Roman" w:cs="Times New Roman" w:eastAsia="Times New Roman" w:hAnsi="Times New Roman"/>
                <w:sz w:val="18"/>
                <w:szCs w:val="18"/>
                <w:b w:val="1"/>
                <w:bCs w:val="1"/>
                <w:color w:val="auto"/>
              </w:rPr>
              <w:t>(480) 295-7600</w:t>
            </w:r>
          </w:p>
        </w:tc>
        <w:tc>
          <w:tcPr>
            <w:tcW w:w="3540" w:type="dxa"/>
            <w:vAlign w:val="bottom"/>
          </w:tcPr>
          <w:p>
            <w:pPr>
              <w:spacing w:after="0"/>
              <w:rPr>
                <w:sz w:val="24"/>
                <w:szCs w:val="24"/>
                <w:color w:val="auto"/>
              </w:rPr>
            </w:pPr>
          </w:p>
        </w:tc>
      </w:tr>
      <w:tr>
        <w:trPr>
          <w:trHeight w:val="234"/>
        </w:trPr>
        <w:tc>
          <w:tcPr>
            <w:tcW w:w="770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CWD</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Chief Financial Officer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5, 2026, CaliberCos, Inc. (the “Company”) accepted the resignation of Mr. Jade Leung from his position as Chief Financial Officer of the Company, effective June 14, 2026. Mr. Leung has served as the Company’s Chief Financial Officer for nine years, since 2017, and has worked with the Company for a total of eleven years, starting in 2015. Mr. Leung’s resignation was for personal reasons and there were no disagreements between Mr. Leung and the Company. His departure is not related to the Company’s operations, policies, practices, financial disclosures, or accounting matters.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Mr. Leung’s resignation, the Company expects to enter into a confidential separation and release agreement (the “Separation Agreement”) with Mr. Leung, which will provide for, among other things, the following benefits: (1) an aggregate cash severance payment of approximately $86,584.60, less applicable taxes and withholdings, representing sixteen weeks of his base salary, payable in eight installments through the Company’s regular payroll system starting after the execution of the Separation Agreement; (2) a grant of 100,000 shares of the Company’s common stock, less any previously advanced tax withholdings, which will be subject to a six-month lock-up period from the date of grant; and (3) the acceleration and full vesting of 24,441 previously granted but unvested equity awards held by Mr. Leung, subject to the terms and conditions of the applicable equity award agreements and the Company’s equity incentive plan. The foregoing benefits are subject to Mr. Leung’s execution and non-revocation of the Separation Agreement and his continued compliance with its terms and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Leung is expected to enter into an independent contractor agreement with the Company to assist with the transition of his duties.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 the Company has commenced a search for a permanent Chief Financial Officer to lead the next phase of the Company’s growth.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Acting Chief Financial Officer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board of directors of the Company approved the appointment of Mr. Michael Rosales, the Company’s current Senior Vice President of Accounting, Financial Reporting and Tax, to serve as acting Chief Financial Officer, effective June 14, 2026.</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Rosales, age 58, has served as the Company’s Senior Vice President of Accounting, Financial Reporting and Tax since April 2025. Previously, he served as the Company’s Corporate Controller from September 2022 to March 2025 and as Director of Financial Reporting and Technical Accounting from October 2020 to September 2022. Prior to joining the Company, Mr. Rosales was an Audit Senior Manager at Grant Thornton LLP from September 2013 to January 2020. Earlier in his career, he held various audit roles, including audit manager positions, at PricewaterhouseCoopers LLP and Wells Fargo, and served as a Senior Auditor at Deloitte and Greentree Financial Services. Mr. Rosales is a Certified Public Accountant and holds a Bachelor of Science in Accounting from Arizona State University.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appointment of Mr. Rosales as the Company’s acting Chief Financial Officer or principal financial officer was not pursuant to any arrangement or understanding between him and any other person. There are also no family relationships between Mr. Rosales and any director or executive officer of the Company and Mr. Rosales has no direct or indirect material interest in any transaction required to be disclosed pursuant to Item 404(a)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5, 2026, the Company issued a press release announcing the departure of Mr. Leung and the appointment of Mr. Rosales as the Company’s acting Chief Financial Officer. A copy of the press release is attached hereto as Exhibit 99.1 and is incorporated herein by reference.</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information contained in this Item 7.01, as well as Exhibit 99.1 referenced herein, shall not be deemed “filed” for purposes of Section 18 of the Securities Exchange Act of 1934, as amended, nor shall they be deemed incorporated by reference in any filing under the Securities Act</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5, 2026.</w:t>
      </w:r>
    </w:p>
    <w:p>
      <w:pPr>
        <w:spacing w:after="0" w:line="27" w:lineRule="exact"/>
        <w:rPr>
          <w:sz w:val="20"/>
          <w:szCs w:val="20"/>
          <w:color w:val="auto"/>
        </w:rPr>
      </w:pPr>
    </w:p>
    <w:p>
      <w:pPr>
        <w:ind w:left="5580" w:right="3219"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2026</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John C. Loeffler, II</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156845</wp:posOffset>
            </wp:positionV>
            <wp:extent cx="3754755" cy="1157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5475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 Announces CFO Transition</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SCOTTSDALE, AZ, June 5, 2026 </w:t>
      </w:r>
      <w:r>
        <w:rPr>
          <w:rFonts w:ascii="Times New Roman" w:cs="Times New Roman" w:eastAsia="Times New Roman" w:hAnsi="Times New Roman"/>
          <w:sz w:val="18"/>
          <w:szCs w:val="18"/>
          <w:color w:val="auto"/>
        </w:rPr>
        <w:t>– Caliber (Nasdaq: CWD), a diversified real estate and digital asset management platform, today announced that Jade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Leung will step down as Chief Financial Officer to pursue a new opportunity, capping an eleven-year tenure during which he built Caliber’s finance organization and helped lead the Company through its initial public offering. Mr. Leung will support an orderly transition. The change is not the result of any disagreement with the Company on any matter relating to its operations, accounting policies, practices, or financial reporting. Caliber reaffirms the full-year 2026 guidance issued on its first quarter 2026 earnings call, and the transition does not affect the Company’s strategy or financial outlook.</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Caliber also announced the appointment of Michael Rosales as Acting Chief Financial Officer, effective June 14th, 2026. Having overseen the Company’s accounting, financial reporting, and tax functions for several years, Mr. Rosales brings extensive knowledge of Caliber’s financial operations and is well positioned to ensure continuity during the transition. Mr. Rosales joined Caliber in October 2020 and has advanced through a series of leadership roles of increasing responsibility, including Director of Financial Reporting &amp; Technical Accounting, Corporate Controller, and most recently Senior Vice President of Accounting, Financial Reporting &amp; Tax, a position he has held since April 2025. Prior to joining Caliber, Mr. Rosales spent 16 years in public accounting, serving in audit and assurance roles of increasing responsibility, including Senior Manager at Grant Thornton. He also held positions at PwC and Deloitte. Mr. Rosales is a Certified Public Accountant and earned a Bachelor of Science in Accounting from Arizona State University.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“Jade has been a trusted partner and a steady leader during Caliber’s evolution from a private company, through our IPO, to the public company we are today. He built our finance team and our reporting foundation which is poised to continue to execute well. On behalf of the Board and the entire team, I thank Jade for almost eleven years of dedicated service and wish him every success in his next chapter,” said Chris Loeffler, CEO of Caliber. “Michael has been instrumental to our accounting and reporting for years, and I have full confidence in him as Acting CFO. Caliber’s Board and I are taking a disciplined approach to identifying the right finance leader for Caliber’s next phase of growth.”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Caliber Board of Directors has commenced a search for a permanent Chief Financial Officer to lead the next phase of the Company’s growth. Caliber is seeking a finance leader with depth in capital formation and fundraising, real estate fund and project finance, public-company finance, and the execution of Caliber’s digital asset and tokenization strategy. This profile aligns directly with Caliber’s expansion toward a real and digital asset platform and market leader in tokenization of real estate funds. The Board intends to conduct a thoughtful and disciplined search and will consider both internal and external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Caliber (CaliberCos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Caliber (Nasdaq: CWD) is a real estate-focused alternative asset manager with over $2.6 billion in Managed Assets and a 17-year track record investing in middle-market hospitality and multifamily real estate. The Company operates an institutional-quality asset management platform paired with a boutique, hands-on investment approach focused on value creation in underserved market segments. In 2025, Caliber integrated digital asset infrastructure into its platform by investing in LINK, the token underlying Chainlink, a key technology enabling real estate fund tokenization, and is implementing blockchain and tokenization strategies across its investment platform to enhance how assets are financed, owned, and accessed. Investors can participate in Caliber through its publicly traded equity (Nasdaq: CWD), which provides exposure to both its real estate platform and digital asset holdings, and through its private real estate investment funds for accredited investors and financial professionals.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“target,” “aim,” “should,” “will” “would,” or the negative of these words or other similar expressions, although not all forward-looking statements contain these words.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These and other risks and uncertainties are described more fully in the section titled “Risk Factors” in the final prospectus related to the Company’s public offering filed with the SEC and other reports filed with the SEC thereafter. Forward-looking statements contained in this announcement are made as of this date, and the Company undertakes no duty to update such information except as required under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Caliber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Ilya Grozovsky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+1 480-214-1915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Ilya.Grozovsky@CaliberCo.com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2026-06-05T16:39:39Z</dcterms:created>
  <dcterms:modified xsi:type="dcterms:W3CDTF">2026-06-05T16:39:39Z</dcterms:modified>
</cp:coreProperties>
</file>