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333-295031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2,162,791 Shares of Class A Common Stock</w:t>
      </w:r>
    </w:p>
    <w:p>
      <w:pPr>
        <w:spacing w:after="0" w:line="2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named herein (the “Selling Stockholders”), or their respective transferees, pledgees, donees or other successors-in-interest, from time to time, of up to 2,162,791 shares (the “Shares”) of Class A common stock, par value $0.001 per share (“Class A common stock”), of CaliberCos Inc. (the “Company” or “we”) held by the Selling Stockholders consisting of (i) up to 1,707,900 shares of Class A common stock, and (ii) up to 454,891 shares of Class A common stock issuable upon conversion of Series AAA Convertible Preferred Stock (“Series AAA Preferred”). We are registering the Shares on behalf of the Selling Stockholders, to be offered and sold from time to time, to satisfy certain registration rights that we have granted to the Selling Stockholders.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were issued to the Selling Stockholders in March 2026 pursuant to the terms of subscription agreements (collectively, the “Subscription Agreements”) with the Company, whereby the Selling Stockholders converted and canceled a total of $3,450,271 of their outstanding notes with the Company in exchange for either shares of Class A common stock or shares of Series AAA Preferred. See “</w:t>
      </w:r>
      <w:r>
        <w:rPr>
          <w:rFonts w:ascii="Times New Roman" w:cs="Times New Roman" w:eastAsia="Times New Roman" w:hAnsi="Times New Roman"/>
          <w:sz w:val="18"/>
          <w:szCs w:val="18"/>
          <w:i w:val="1"/>
          <w:iCs w:val="1"/>
          <w:color w:val="auto"/>
        </w:rPr>
        <w:t>Description of Offering</w:t>
      </w:r>
      <w:r>
        <w:rPr>
          <w:rFonts w:ascii="Times New Roman" w:cs="Times New Roman" w:eastAsia="Times New Roman" w:hAnsi="Times New Roman"/>
          <w:sz w:val="18"/>
          <w:szCs w:val="18"/>
          <w:color w:val="auto"/>
        </w:rPr>
        <w:t>”, and the section titled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for additional information regarding the Selling Stockholders.</w:t>
      </w:r>
    </w:p>
    <w:p>
      <w:pPr>
        <w:spacing w:after="0" w:line="18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resell or dispose of the Shares, or interests therein, at fixed prices, at prevailing market prices at the time of sale or at prices negotiated with purchasers, to or through underwriters, broker-dealers, agents, or through any other means described under the heading “Plan of Distribution” beginning on page 23 of this prospectus. The Selling Stockholders will bear their respective commissions and discounts, if any, attributable to the sale or disposition of the Shares, or interests therein, held by the Selling Stockholders. We will bear all costs, expenses and fees in connection with the registration of the Shares. We will not receive any of the proceeds from the sale of the Shares by the Selling Stockholders. However, we will benefit from the extinguishment of the notes which are cancelled in connection with note conversions.</w:t>
      </w:r>
    </w:p>
    <w:p>
      <w:pPr>
        <w:spacing w:after="0" w:line="18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“CWD.” On April 10, 2026, the last reported sale price for our Class A common stock on the Nasdaq Capital Market was $1.04 per share.</w:t>
      </w:r>
    </w:p>
    <w:p>
      <w:pPr>
        <w:spacing w:after="0" w:line="15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8 of this prospectus, contained in the applicable prospectus supplement and in any related free writing prospectus, and under similar headings in the other documents that are incorporated by reference into this prospectus or any prospectus supplement before making a decision to purchase our securities.</w:t>
      </w:r>
    </w:p>
    <w:p>
      <w:pPr>
        <w:spacing w:after="0" w:line="176"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53"/>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6"/>
        </w:trPr>
        <w:tc>
          <w:tcPr>
            <w:tcW w:w="4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9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740" w:type="dxa"/>
            <w:vAlign w:val="bottom"/>
            <w:tcBorders>
              <w:bottom w:val="single" w:sz="8" w:color="CCEEFF"/>
            </w:tcBorders>
            <w:gridSpan w:val="7"/>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360" w:type="dxa"/>
            <w:vAlign w:val="bottom"/>
            <w:tcBorders>
              <w:bottom w:val="single" w:sz="8" w:color="CCEEFF"/>
            </w:tcBorders>
            <w:gridSpan w:val="13"/>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Offering</w:t>
            </w:r>
          </w:p>
        </w:tc>
        <w:tc>
          <w:tcPr>
            <w:tcW w:w="6960" w:type="dxa"/>
            <w:vAlign w:val="bottom"/>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17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2580" w:type="dxa"/>
            <w:vAlign w:val="bottom"/>
            <w:tcBorders>
              <w:top w:val="single" w:sz="8" w:color="CCEEFF"/>
            </w:tcBorders>
            <w:gridSpan w:val="5"/>
          </w:tcPr>
          <w:p>
            <w:pPr>
              <w:spacing w:after="0"/>
              <w:rPr>
                <w:sz w:val="15"/>
                <w:szCs w:val="15"/>
                <w:color w:val="auto"/>
              </w:rPr>
            </w:pPr>
          </w:p>
        </w:tc>
        <w:tc>
          <w:tcPr>
            <w:tcW w:w="6960" w:type="dxa"/>
            <w:vAlign w:val="bottom"/>
            <w:tcBorders>
              <w:top w:val="single" w:sz="8" w:color="CCEEFF"/>
            </w:tcBorders>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2480" w:type="dxa"/>
            <w:vAlign w:val="bottom"/>
            <w:tcBorders>
              <w:bottom w:val="single" w:sz="8" w:color="CCEEFF"/>
            </w:tcBorders>
            <w:gridSpan w:val="4"/>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260" w:type="dxa"/>
            <w:vAlign w:val="bottom"/>
            <w:tcBorders>
              <w:bottom w:val="single" w:sz="8" w:color="CCEEFF"/>
            </w:tcBorders>
            <w:gridSpan w:val="11"/>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400" w:type="dxa"/>
            <w:vAlign w:val="bottom"/>
            <w:tcBorders>
              <w:bottom w:val="single" w:sz="8" w:color="CCEEFF"/>
            </w:tcBorders>
            <w:gridSpan w:val="3"/>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Neither we nor the Selling Stockholders have authorized any other person to provide you with information different from or in addition to that contained in this prospectus. If anyone provides you with different or inconsistent information, you should not rely on it. The Selling Stockholders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further note that the representations, warranties and covenants made by us in any document that is filed as an exhibit to the registration statement of which this prospectus is a part and in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CaliberCos Inc. (“we,” “us,” “Caliber,” or the “Company”) filed with the Securities and Exchange Commission (the “SEC”). The selling stockholders (the “Selling Stockholders”) may sell up to up to 2,162,791 shares (the “Shares”) of Class A common stock, par value $0.001 per share (“Class A common stock”), of CaliberCos Inc. (the “Company”) held by the Selling Stockholders consisting of</w:t>
      </w:r>
    </w:p>
    <w:p>
      <w:pPr>
        <w:spacing w:after="0" w:line="1" w:lineRule="exact"/>
        <w:rPr>
          <w:sz w:val="20"/>
          <w:szCs w:val="20"/>
          <w:color w:val="auto"/>
        </w:rPr>
      </w:pPr>
    </w:p>
    <w:p>
      <w:pPr>
        <w:jc w:val="both"/>
        <w:ind w:firstLine="8"/>
        <w:spacing w:after="0" w:line="255" w:lineRule="auto"/>
        <w:tabs>
          <w:tab w:leader="none" w:pos="2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1,707,900 shares of Class A common stock, and (ii) up to 454,891 shares of Class A common stock issuable upon conversion of Series AAA Convertible Preferred Stock (“Series AAA Preferred”), as described in this prospectus. We will not receive any proceeds from the sale by the Selling Stockholders of the Shares offered pursuant to this prospectus.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on Form S-3 of which this prospectus forms a part (the “Registration Statement”) that may contain material information relating to the offering. The prospectus supplement or post-effective amendment may also add, update or change information contained in this prospectus with respect to the offering. If there is any inconsistency between the information in this prospectus and the applicable prospectus supplement or post-effective amendment, you should rely on the prospectus supplement or post-effective amendment, as applicable. Before purchasing any Shares, you should carefully read this prospectus, any post-effective amendment, and any applicable prospectus supplement, together with the additional information described under the headings “Where You Can Find More Information” beginning on page 25 and “Incorporation of Certain Information by Reference” beginning on page 26.</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or to make any representations other than those contained or incorporated by reference in this prospectus, any post-effective amendment, or any applicable prospectus supplement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Shares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incorporates by reference, and any post-effective amendment or any prospectus supplement may contain 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incorporated by reference in this prospectus, any post-effective amendment or any prospectus supplement may involve estimates, assumptions and other risks and uncertainties and are subject to change based on various factors, including those discussed under the heading “Risk Factors” incorporated by reference in this prospectus, any post-effective amendment and any applicable prospectus supplement. Accordingly, investors should not place undue reliance on this information.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the terms “Caliber,” “CWD,” “we,” “us,” “our,” “our company,” “Company” and “our business” refer to CaliberCos Inc., a Delaware corporation, and its consolidated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which involve risks and uncertainties. These forward-looking statements can be identified by the use of forward-looking terminology, including the terms “believe,” “estimate,” “project,” “anticipate,” “expect,” “seek,” “predict,” “continue,” “possible,” “intend,” “may,” “might,” “will,” “could,” would” or “should” or, in each case, their negative, or other variations or comparable terminology. These forward-looking statements include all matters that are not historical facts. They appear in a number of places throughout this prospectus and the documents incorporated by reference in this prospectus, and include statements regarding our intentions, beliefs or current expectations concerning, among other things, our operations, prospects, strategies, and the industry in which we operate.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Forward-looking statements should not be read as a guarantee of future performance or results and may not be accurate indications of when such performance or results will be achieved. In light of these risks and uncertainties, the forward-looking events and circumstances discussed in this prospectus may not occur and actual results could differ materially from those anticipated or implied in the forward-looking statements.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 You should read this prospectus, the documents incorporated by reference in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All forward-looking statements are based upon information available to us on the date of this prospectus.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prospectus. In addition, even if our results of operations, financial condition, business and prospects are consistent with the forward-looking statements contained (or incorporated by reference) in this prospectus, those results may not be indicative of results in subsequent periods.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necessarily involve risks and uncertainties, and our actual results could differ materially from those anticipated in the forward-looking statements due to several factors, including those set forth under the heading “Risk Factors” in our most recent Annual Report on Form 10-K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“Information Incorporated by Reference.” The factors set forth below under “Risk Factors” and other cautionary statements made in this prospectus should be read and understood as being applicable to all related forward-looking statements wherever they appear in this prospectus. The forward-looking statements contained in this prospectus represent our judgment as of the date of this prospectus. We caution readers not to place undue reliance on such statements. Except as required by law, we undertake no obligation to update publicly any forward-looking statements for any reason, even if new information becomes available or other events occur in the future. All subsequent written and oral forward-looking statements attributable to us or persons acting on our behalf are expressly qualified in their entirety by the cautionary statements contained above and throughout this prospectus.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6322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632206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and in documents incorporated by reference. This summary is not complete and may not contain all the information you should consider before investing in our securities. You should read this entire prospectus and the documents incorporated by reference in this prospectus carefully, especially the risks of investing in our securities discussed under the heading “Risk Factors,” and our financial statements and related notes incorporated by reference in this prospectus before making an investment decision. Except as otherwise indicated herein or as the context otherwise requires, references in this prospectus and the documents incorporated by reference in this prospectus to, the “Company”, “we”, “us”, “our”, “Caliber” refer to CaliberCos Inc., a Delaware corporation, and its consolidated subsidiaries. This prospectus includes forward-looking statements that involve risks and uncertainties. See “Cautionary Note Regarding Forward-Looking Statements.” This prospectus includes trademarks, service marks and trade names owned by us or other companies. All trademarks, service marks and trade names included in this prospectus are the property of their respective owners.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past 16 years, we have grown into a leading diversified alternative asset management firm, with more than $2.6 billion in Managed Assets, comprised of $0.8 billion of assets under management (“AUM”) and $1.9 billion of assets under development (“AUD”).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alternative asset manager investing across real and digital assets. We sponsor and manage private real estate investment funds and maintain a digital asset treasury strategy focused on blockchain infrastructure assets. Our primary goal is to drive shareholder value by enhancing the wealth of accredited investor clients seeking to make investments in real and digital assets.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formally adopted a Board-approved digital asset treasury policy (the “Treasury Reserve Policy”) under which we accumulate and manage digital infrastructure assets, starting with Chainlink tokens (“LINK”). The digital asset treasury strategy is designed to complement our core real estate investment platform by providing exposure to blockchain-based financial infrastructure and generating yield through staking activities. Digital asset treasury income may consist of staking rewards and other income derived from treasury digital asset holdings. While our real estate platform remains our core business, we believe exposure to digital infrastructure assets positions us for the long-term evolution of tokenized real-world asset markets.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multi-family residential and multi-tenant industrial assets, we are regionally focused on growth-oriented markets, namely Arizona, Colorado and Texas. For our hospitality platform, we invest throughout the United States with a specific focus on markets that have experienced population and job growth in recent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competitive advantage is driven by several elements of our platform:</w:t>
      </w:r>
    </w:p>
    <w:p>
      <w:pPr>
        <w:spacing w:after="0" w:line="225" w:lineRule="exact"/>
        <w:rPr>
          <w:sz w:val="20"/>
          <w:szCs w:val="20"/>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an institutional-grade investment management platform with boutique, middle-market fund sizes and real estate projects.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in-house shared services group, which offers greater operational control and visibility into investment opportunities.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in-house fundraising infrastructure, allowing us to serve a broad range of investors and institutions.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middle-market in two ways. First, by the size of investments. We typically pursue projects between $5.0 million and $50.0 million per asset. Second, by the size of the investment funds. We typically offer approximately $200.0 million for a multi-asset discretionary fund and $5.0 million to $20.0 million for a single asset syndication. In addition, we are building the Caliber Hospitality Trust (“CHT”), a middle-market hotel investment company utilizing the UPREIT strategy, with expectations that CHT may seek a public listing if its assets under management exceed $1.0 billion.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6253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253480"/>
                    </a:xfrm>
                    <a:prstGeom prst="rect">
                      <a:avLst/>
                    </a:prstGeom>
                    <a:noFill/>
                  </pic:spPr>
                </pic:pic>
              </a:graphicData>
            </a:graphic>
          </wp:anchor>
        </w:drawing>
        <w:t>As an alternative asset manager, we offer a full suite of support services and employ a vertically integrated approach to investment management. Our asset management activities are complemented by transaction and advisory services, including development and construction management, acquisition and disposition services, brokerage activities, and fund formation services.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 2025, the Company effected a one-for-twenty (1-for-20) reverse stock split of its common stock (the “Reverse Stock Split”). The Reverse Stock Split did not change the authorized number of shares or the par value of the Common Stock nor modify any voting rights of the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earn the following fees from providing these services under our asset management platform (the “Platform”):</w:t>
      </w:r>
    </w:p>
    <w:p>
      <w:pPr>
        <w:spacing w:after="0" w:line="225" w:lineRule="exact"/>
        <w:rPr>
          <w:sz w:val="20"/>
          <w:szCs w:val="20"/>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fees include fund set-up fees earned during the initial formation, administration, and set-up of fund products we distribute and manage. These fees are recognized at a point in time when performance obligations are satisfied.</w:t>
      </w:r>
    </w:p>
    <w:p>
      <w:pPr>
        <w:spacing w:after="0" w:line="188" w:lineRule="exact"/>
        <w:rPr>
          <w:rFonts w:ascii="Times New Roman" w:cs="Times New Roman" w:eastAsia="Times New Roman" w:hAnsi="Times New Roman"/>
          <w:sz w:val="18"/>
          <w:szCs w:val="18"/>
          <w:color w:val="auto"/>
        </w:rPr>
      </w:pPr>
    </w:p>
    <w:p>
      <w:pPr>
        <w:jc w:val="both"/>
        <w:ind w:left="640" w:right="20" w:hanging="324"/>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certain costs incurred on behalf of the fund. These customer contracts require us to provide management services, that represent performance obligations satisfied over time. With respect to CHT, we earn a fund management fee of 0.7% of CHT’s enterprise value and are reimbursed for certain costs incurred on its behalf.</w:t>
      </w:r>
    </w:p>
    <w:p>
      <w:pPr>
        <w:spacing w:after="0" w:line="206"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securing third-party financing on behalf of our private equity real estate funds and are recognized at a point in time upon loan closing. We may also earn fees for guaranteeing certain loans, which are recognized over time.</w:t>
      </w:r>
    </w:p>
    <w:p>
      <w:pPr>
        <w:spacing w:after="0" w:line="188" w:lineRule="exact"/>
        <w:rPr>
          <w:rFonts w:ascii="Times New Roman" w:cs="Times New Roman" w:eastAsia="Times New Roman" w:hAnsi="Times New Roman"/>
          <w:sz w:val="18"/>
          <w:szCs w:val="18"/>
          <w:color w:val="auto"/>
        </w:rPr>
      </w:pPr>
    </w:p>
    <w:p>
      <w:pPr>
        <w:jc w:val="both"/>
        <w:ind w:left="640" w:right="20" w:hanging="324"/>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two fee-based contracts, not to exceed an aggregate of 6%. The first, a real estate development contract that provides for up to 4.0% of the total expected costs of the development and is paid for services performed by Caliber Development, LLC as the principal developer of our projects. These services may include obtaining new entitlements or zoning changes and managing and supervising third-party developers. The second, a 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w:t>
      </w:r>
    </w:p>
    <w:p>
      <w:pPr>
        <w:spacing w:after="0" w:line="21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fixed rates for services related to acquisitions, dispositions, leasing and financing transactions and are recognized at a point in time when services are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Allocations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Performance allocations represent our contractual share of investment returns generated within the investment funds we manage. We typically receive 15.0% to 35.0% of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Preferred returns across our funds generally range from 6.0% to 12.0%.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7333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7333615"/>
                    </a:xfrm>
                    <a:prstGeom prst="rect">
                      <a:avLst/>
                    </a:prstGeom>
                    <a:noFill/>
                  </pic:spPr>
                </pic:pic>
              </a:graphicData>
            </a:graphic>
          </wp:anchor>
        </w:drawing>
        <w:t>Performance allocations are recognized in accordance with generally accepted accounting principles in the United States of America (“U.S. GAAP”) when it is determined that they are no longer probable of significant reversal, which generally occurs upon close of asset sales or refinancings. Many alternative asset managers qualify for investment company accounting which renders comparability to our financial performance difficult. Annually, we re-evaluate our conclusions regarding the application of investment company accounting. Under investment company accounting, among other adjustments, we would recognize the portion of any performance allocations earned in the year as unrealized gains and losses. Given the vertical nature of our business and the significant activities we generate revenue on, we do not qualify for investment company accounting. However, if we were to qualify, we would have recognized approximately $16.3 million in unrealized gains in the current year.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 allocations are inherently variable and depend on asset-level performance and realization events. There can be no assurance that projected performance allocations will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$2.6 billion in Managed Assets, comprised of AUM and AUD. AUD includes development, redevelopment, construction, and entitlement projects that are underway or in planning stages. This category includes projects to be built on undeveloped land, including projects under contract for purchase by our funds.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are actively developing 1,796 multifamily units, 697 single family units, 3.7 million square feet of commercial and industrial space, and 3.5 million square feet of office and retail space. If these projects are completed, total capitalized costs are currently estimated to be $1.9 billion, and are expected to be funded through a combination of undeployed fund cash, third-party equity, project sales, tax credit financing and secured debt financing.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Completing these development activities may ultimately result in income-producing assets, assets we may sell to third parties, or both. If we complete all AUD at December 31, 2025, up through sale, we estimate the Company could earn $104.2 million in performance allocations.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The development of these assets requires significant additional financing and are subject to market conditions, entitlement risks, construction risks and access to capital. Similarly, total costs to complete a project could change or the future selling price could be different than projected, thus there is no assurance that performance allocations will be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Treasury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digital asset treasury strategy is governed by formal policies adopted by our Board of Directors. The strategy is intended to:</w:t>
      </w:r>
    </w:p>
    <w:p>
      <w:pPr>
        <w:spacing w:after="0" w:line="225" w:lineRule="exact"/>
        <w:rPr>
          <w:sz w:val="20"/>
          <w:szCs w:val="20"/>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exposure to blockchain infrastructure assets</w:t>
      </w:r>
    </w:p>
    <w:p>
      <w:pPr>
        <w:spacing w:after="0" w:line="252"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staking yield</w:t>
      </w:r>
    </w:p>
    <w:p>
      <w:pPr>
        <w:spacing w:after="0" w:line="252"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treasury strategy with technological infrastructure supporting tokenized asset markets</w:t>
      </w:r>
    </w:p>
    <w:p>
      <w:pPr>
        <w:spacing w:after="0" w:line="252"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 our real asset investment platform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evaluating potential applications of blockchain technology within our real estate investment platform, including initiatives designed to improve operational efficiency, investor servicing, and accessibility. These efforts may include the tokenization of real-world assets, such as real estate projects and fund interests, to facilitate fractional ownership, enhance liquidity, and streamline investor reporting and fund administration. We also believe that tokenized offerings may represent an additional capital formation channel, enabling us to reach a broader base of global investors through compliant, blockchain-enabled investment structures.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322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322060"/>
                    </a:xfrm>
                    <a:prstGeom prst="rect">
                      <a:avLst/>
                    </a:prstGeom>
                    <a:noFill/>
                  </pic:spPr>
                </pic:pic>
              </a:graphicData>
            </a:graphic>
          </wp:anchor>
        </w:drawing>
        <w:t>Digital assets are subject to significant market volatility, regulatory uncertainty, technological risk and custodial considerations. We maintain internal controls and governance procedures designed to manage these risks; however, there can be no assurance that digital asset holdings will not experience material fluctuations in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Treasury Holdings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digital asset treasury is currently comprised of only LINK. We currently do not have a specific target for the amount or type of digital asset holdings we intend to acquire and hold.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further discussed below, our digital asset treasury holds LINK solely on the Ethereum blockchain.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Chainlink and LINK 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Chainlink enables smart contracts to interact with external data, offchain computation, and systems across blockchains through decentralized oracle infrastructure. Chainlink services are powered by Decentralized Oracle Networks (“DONs”), which consist of multiple independent node operators that aggregate data, computations, and reports before delivering results onchain. Different DONs can perform different predefined tasks, including providing attestations regarding offchain data or real-world events.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LINK is the native token of the Chainlink network. It is used to pay for Chainlink services, including oracle and related network services, and it is also used in Chainlink Staking to support security and enable eligible participants to earn rewards. LINK is an ERC-677 compatible token originally deployed on Ethereum. LINK may also be transferred across supported chains using the Chainlink Cross-Chain Interoperability Protocol (“CCIP”) and CCIP-powered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Chainlink Staking Activities and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generate staking and other revenue from participating in the Chainlink ecosystem through being Community Stakers (as discussed below). We intend to allocate a significant portion of our LINK holdings to be staked through certain limited node operators. Management estimates it may earn a net yield of approximately 3% to 9% annualized, based upon internal estimates of the potential to stake our LINK treasury.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Chainlink Staking is a security mechanism designed to enhance the security and reliability of Chainlink’s oracle services. In Chainlink Staking, node operators (“Node Operator Stakers”) and community members (“Community Stakers”) stake (i.e., lock up) LINK in exchange for receiving staking rewards.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Staking reward rates vary because a fixed amount of rewards are made available to the staking protocol (currently v0.2) per unit of time, regardless of how much aggregate LINK is staked in the protocol.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Community Stakers earn base rewards for securing the network by staking LINK, and they can earn additional rewards through additional activities, including by providing timely and valid alerts about DON performance. Automatically, Community Stakers have their stake delegated to Node Operator Stakers (without the operators taking control of such staked LINK), and 4% of Community Staker rewards are directed to the operators as a Delegation Reward in exchange for performing oracle computation on behalf of Community Stakers.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Node Operator Stakers also earn base rewards for securing the network and performing oracle computation, with their rewards supplemented by the Delegation Rewards as discussed above, which are made available to Node Operator Stakers proportionally based on the amount each operator stakes.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5550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5550535"/>
                    </a:xfrm>
                    <a:prstGeom prst="rect">
                      <a:avLst/>
                    </a:prstGeom>
                    <a:noFill/>
                  </pic:spPr>
                </pic:pic>
              </a:graphicData>
            </a:graphic>
          </wp:anchor>
        </w:drawing>
        <w:t>Attributed Rewards are earned by stakers during their participation in staking, which are composed of “Claimable Rewards” and “Locked Rewards”. Claimable Rewards can be claimed by stakers at any time without penalty. Locked Rewards turn into Claimable Rewards over a period of time known as the ramp-up period. The ramp-up period is a 90-day period, tracked individually for each staker, that starts at 0% when a staker first stakes and linearly increases to 100% of the possible reward rate. The percentage of claimable Attributed Rewards is proportional to the amount of time spent in the ramp-up period. When unstaking LINK before the full ramp-up period has been completed, any Locked Rewards turn into “Forfeited Rewards”, which are forfeited and become available for all stakers in the same category.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Chainlink Staking v0.2 offers increased security by supporting the ability to slash (forfeit) a portion of staked LINK by Node Operator Stakers who help power oracle services secured by staking. Community Stakers, and Node Operator Stakers only serving oracle services not secured by staking, will not be at risk of slashing.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Coinbase Prime, the institutional product of Coinbase Custody Trust Company, LLC (“Coinbase Custody”), to trade, custody, stake and manage our digital assets. Of our LINK, Coinbase Prime holds approximately 100% in hot wallets. Coinbase Custody is chartered as a limited purpose trust company by the New York State Department of Financial Services. 100% of our LINK holdings are custodied by Coinbase Custody, and none of our LINK were staked as of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and Expected Digital Asset Treasury Holdings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held 562,535 LINK with a cost basis of $12.6 million and a fair value of $6.8 million. All LINK were acquired during the year ended December 31, 2025, and the Company has not sold any of its LINK holdings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For so long as we remain an emerging growth company, we are permitted to rely on exemptions from specified disclosure requirements that are applicable to other public companies that are not emerging growth companies. These exemptions include the following:</w:t>
      </w:r>
    </w:p>
    <w:p>
      <w:pPr>
        <w:spacing w:after="0" w:line="176" w:lineRule="exact"/>
        <w:rPr>
          <w:sz w:val="20"/>
          <w:szCs w:val="20"/>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controls over financial reporting;</w:t>
      </w:r>
    </w:p>
    <w:p>
      <w:pPr>
        <w:spacing w:after="0" w:line="252"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52"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453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4538980"/>
                    </a:xfrm>
                    <a:prstGeom prst="rect">
                      <a:avLst/>
                    </a:prstGeom>
                    <a:noFill/>
                  </pic:spPr>
                </pic:pic>
              </a:graphicData>
            </a:graphic>
          </wp:anchor>
        </w:drawing>
        <w:t>An emerging growth company may delay the adoption of certain accounting standards until those standards would otherwise apply to private companies. We have irrevocably elected not to take advantage of the extended transition period for complying with new or revised accounting standards provided to emerging growth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completion of our IPO,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8901 E. Mountain View Rd. Ste. 150, Scottsdale, AZ 85258 and our telephone number is (602) 295-7600. We maintain a website at www.calibercos.com. Information available on our website is not incorporated by reference in and is not deemed a part of this offering circular.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a complete description of our business, financial condition, results of operations and other important information, we refer you to our filings with the Securities and Exchange Commission (the “SEC”) that are incorporated by reference in this prospectus, including our Annual Report on Form 10-K for the year ended December 31, 2025. For instructions on how to find copies of these documents, please see the section titled “</w:t>
      </w:r>
      <w:r>
        <w:rPr>
          <w:rFonts w:ascii="Times New Roman" w:cs="Times New Roman" w:eastAsia="Times New Roman" w:hAnsi="Times New Roman"/>
          <w:sz w:val="18"/>
          <w:szCs w:val="18"/>
          <w:i w:val="1"/>
          <w:iCs w:val="1"/>
          <w:color w:val="auto"/>
        </w:rPr>
        <w:t>Incorporation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Information by reference</w:t>
      </w:r>
      <w:r>
        <w:rPr>
          <w:rFonts w:ascii="Times New Roman" w:cs="Times New Roman" w:eastAsia="Times New Roman" w:hAnsi="Times New Roman"/>
          <w:sz w:val="18"/>
          <w:szCs w:val="18"/>
          <w:color w:val="auto"/>
        </w:rPr>
        <w:t>” beginning on page 26 of this prospectus.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10" w:name="page11"/>
    <w:bookmarkEnd w:id="10"/>
    <w:p>
      <w:pPr>
        <w:jc w:val="center"/>
        <w:ind w:right="-2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6784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784975"/>
                    </a:xfrm>
                    <a:prstGeom prst="rect">
                      <a:avLst/>
                    </a:prstGeom>
                    <a:noFill/>
                  </pic:spPr>
                </pic:pic>
              </a:graphicData>
            </a:graphic>
          </wp:anchor>
        </w:drawing>
        <w:t>THE OFFERING</w:t>
      </w:r>
    </w:p>
    <w:p>
      <w:pPr>
        <w:sectPr>
          <w:pgSz w:w="11900" w:h="16838" w:orient="portrait"/>
          <w:cols w:equalWidth="0" w:num="1">
            <w:col w:w="10968"/>
          </w:cols>
          <w:pgMar w:left="452" w:top="455" w:right="479" w:bottom="1440" w:gutter="0" w:footer="0" w:header="0"/>
        </w:sectPr>
      </w:pP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Securities to be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 to an aggregate of 2,162,791 shares (the “Shares”) of Class A common stock consisting of (i) up to 1,707,900 shares of Class A common stock, and (ii) up to 454,891 shares of Class A common stock issuable upon conversion of Series AAA Convertible Preferred Stock (“Series AAA Preferred”).</w:t>
      </w:r>
    </w:p>
    <w:p>
      <w:pPr>
        <w:spacing w:after="0" w:line="172" w:lineRule="exact"/>
        <w:rPr>
          <w:sz w:val="20"/>
          <w:szCs w:val="20"/>
          <w:color w:val="auto"/>
        </w:rPr>
      </w:pPr>
    </w:p>
    <w:p>
      <w:pPr>
        <w:sectPr>
          <w:pgSz w:w="11900" w:h="16838" w:orient="portrait"/>
          <w:cols w:equalWidth="0" w:num="2">
            <w:col w:w="2148" w:space="720"/>
            <w:col w:w="8100"/>
          </w:cols>
          <w:pgMar w:left="452" w:top="455" w:right="47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sell the Shares offered in this prospectus, as described in the “Plan of Distribution.”</w:t>
      </w:r>
    </w:p>
    <w:p>
      <w:pPr>
        <w:spacing w:after="0" w:line="158" w:lineRule="exact"/>
        <w:rPr>
          <w:sz w:val="20"/>
          <w:szCs w:val="20"/>
          <w:color w:val="auto"/>
        </w:rPr>
      </w:pPr>
    </w:p>
    <w:p>
      <w:pPr>
        <w:sectPr>
          <w:pgSz w:w="11900" w:h="16838" w:orient="portrait"/>
          <w:cols w:equalWidth="0" w:num="2">
            <w:col w:w="2148" w:space="720"/>
            <w:col w:w="8100"/>
          </w:cols>
          <w:pgMar w:left="452" w:top="455" w:right="479" w:bottom="1440" w:gutter="0" w:footer="0" w:header="0"/>
          <w:type w:val="continuous"/>
        </w:sectPr>
      </w:pPr>
    </w:p>
    <w:p>
      <w:pPr>
        <w:ind w:left="8"/>
        <w:spacing w:after="0"/>
        <w:tabs>
          <w:tab w:leader="none" w:pos="2848" w:val="left"/>
        </w:tabs>
        <w:rPr>
          <w:sz w:val="20"/>
          <w:szCs w:val="20"/>
          <w:color w:val="auto"/>
        </w:rPr>
      </w:pPr>
      <w:r>
        <w:rPr>
          <w:rFonts w:ascii="Times New Roman" w:cs="Times New Roman" w:eastAsia="Times New Roman" w:hAnsi="Times New Roman"/>
          <w:sz w:val="18"/>
          <w:szCs w:val="18"/>
          <w:b w:val="1"/>
          <w:bCs w:val="1"/>
          <w:color w:val="auto"/>
        </w:rPr>
        <w:t>Shares of Class A Common Stock</w:t>
      </w:r>
      <w:r>
        <w:rPr>
          <w:sz w:val="20"/>
          <w:szCs w:val="20"/>
          <w:color w:val="auto"/>
        </w:rPr>
        <w:tab/>
      </w:r>
      <w:r>
        <w:rPr>
          <w:rFonts w:ascii="Times New Roman" w:cs="Times New Roman" w:eastAsia="Times New Roman" w:hAnsi="Times New Roman"/>
          <w:sz w:val="17"/>
          <w:szCs w:val="17"/>
          <w:color w:val="auto"/>
        </w:rPr>
        <w:t>6,682,240 shares of Class A common stock.</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outstanding prior to this offering </w:t>
      </w:r>
      <w:r>
        <w:rPr>
          <w:rFonts w:ascii="Times New Roman" w:cs="Times New Roman" w:eastAsia="Times New Roman" w:hAnsi="Times New Roman"/>
          <w:sz w:val="29"/>
          <w:szCs w:val="29"/>
          <w:b w:val="1"/>
          <w:bCs w:val="1"/>
          <w:color w:val="auto"/>
          <w:vertAlign w:val="superscript"/>
        </w:rPr>
        <w:t>(1)</w:t>
      </w:r>
    </w:p>
    <w:p>
      <w:pPr>
        <w:spacing w:after="0" w:line="132" w:lineRule="exact"/>
        <w:rPr>
          <w:sz w:val="20"/>
          <w:szCs w:val="20"/>
          <w:color w:val="auto"/>
        </w:rPr>
      </w:pPr>
    </w:p>
    <w:p>
      <w:pPr>
        <w:ind w:left="8"/>
        <w:spacing w:after="0"/>
        <w:tabs>
          <w:tab w:leader="none" w:pos="2848" w:val="left"/>
        </w:tabs>
        <w:rPr>
          <w:sz w:val="20"/>
          <w:szCs w:val="20"/>
          <w:color w:val="auto"/>
        </w:rPr>
      </w:pPr>
      <w:r>
        <w:rPr>
          <w:rFonts w:ascii="Times New Roman" w:cs="Times New Roman" w:eastAsia="Times New Roman" w:hAnsi="Times New Roman"/>
          <w:sz w:val="18"/>
          <w:szCs w:val="18"/>
          <w:b w:val="1"/>
          <w:bCs w:val="1"/>
          <w:color w:val="auto"/>
        </w:rPr>
        <w:t>Common Stock Outstanding after</w:t>
      </w:r>
      <w:r>
        <w:rPr>
          <w:sz w:val="20"/>
          <w:szCs w:val="20"/>
          <w:color w:val="auto"/>
        </w:rPr>
        <w:tab/>
      </w:r>
      <w:r>
        <w:rPr>
          <w:rFonts w:ascii="Times New Roman" w:cs="Times New Roman" w:eastAsia="Times New Roman" w:hAnsi="Times New Roman"/>
          <w:sz w:val="17"/>
          <w:szCs w:val="17"/>
          <w:color w:val="auto"/>
        </w:rPr>
        <w:t>8,845,031 shares of Class A common stock.</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completion of this offering </w:t>
      </w:r>
      <w:r>
        <w:rPr>
          <w:rFonts w:ascii="Times New Roman" w:cs="Times New Roman" w:eastAsia="Times New Roman" w:hAnsi="Times New Roman"/>
          <w:sz w:val="29"/>
          <w:szCs w:val="29"/>
          <w:b w:val="1"/>
          <w:bCs w:val="1"/>
          <w:color w:val="auto"/>
          <w:vertAlign w:val="superscript"/>
        </w:rPr>
        <w:t>(1)</w:t>
      </w:r>
    </w:p>
    <w:p>
      <w:pPr>
        <w:sectPr>
          <w:pgSz w:w="11900" w:h="16838" w:orient="portrait"/>
          <w:cols w:equalWidth="0" w:num="1">
            <w:col w:w="10968"/>
          </w:cols>
          <w:pgMar w:left="452" w:top="455" w:right="479" w:bottom="1440" w:gutter="0" w:footer="0" w:header="0"/>
          <w:type w:val="continuous"/>
        </w:sectPr>
      </w:pP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We will not receive any proceeds from the sale of the Shares by the Selling Stockholders.</w:t>
      </w:r>
    </w:p>
    <w:p>
      <w:pPr>
        <w:spacing w:after="0" w:line="200" w:lineRule="exact"/>
        <w:rPr>
          <w:sz w:val="20"/>
          <w:szCs w:val="20"/>
          <w:color w:val="auto"/>
        </w:rPr>
      </w:pPr>
    </w:p>
    <w:p>
      <w:pPr>
        <w:sectPr>
          <w:pgSz w:w="11900" w:h="16838" w:orient="portrait"/>
          <w:cols w:equalWidth="0" w:num="2">
            <w:col w:w="2148" w:space="720"/>
            <w:col w:w="8100"/>
          </w:cols>
          <w:pgMar w:left="452" w:top="455" w:right="479" w:bottom="1440" w:gutter="0" w:footer="0" w:header="0"/>
          <w:type w:val="continuous"/>
        </w:sectPr>
      </w:pPr>
    </w:p>
    <w:p>
      <w:pPr>
        <w:spacing w:after="0" w:line="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Listing of Securities: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shares of Class A common stock are listed on the NASDAQ Capital Market under the symbol “CWD.”</w:t>
      </w:r>
    </w:p>
    <w:p>
      <w:pPr>
        <w:spacing w:after="0" w:line="200" w:lineRule="exact"/>
        <w:rPr>
          <w:sz w:val="20"/>
          <w:szCs w:val="20"/>
          <w:color w:val="auto"/>
        </w:rPr>
      </w:pPr>
    </w:p>
    <w:p>
      <w:pPr>
        <w:sectPr>
          <w:pgSz w:w="11900" w:h="16838" w:orient="portrait"/>
          <w:cols w:equalWidth="0" w:num="2">
            <w:col w:w="2148" w:space="720"/>
            <w:col w:w="8100"/>
          </w:cols>
          <w:pgMar w:left="452" w:top="455" w:right="479" w:bottom="1440" w:gutter="0" w:footer="0" w:header="0"/>
          <w:type w:val="continuous"/>
        </w:sectPr>
      </w:pPr>
    </w:p>
    <w:p>
      <w:pPr>
        <w:spacing w:after="0" w:line="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shares of Class A common stock is highly speculative and involves a significant degree of risk. See “Risk Factors” and other information included in this prospectus for a discussion of factors you should carefully consider before deciding to invest in shares of our Class A common stock.</w:t>
      </w:r>
    </w:p>
    <w:p>
      <w:pPr>
        <w:spacing w:after="0" w:line="176" w:lineRule="exact"/>
        <w:rPr>
          <w:sz w:val="20"/>
          <w:szCs w:val="20"/>
          <w:color w:val="auto"/>
        </w:rPr>
      </w:pPr>
    </w:p>
    <w:p>
      <w:pPr>
        <w:sectPr>
          <w:pgSz w:w="11900" w:h="16838" w:orient="portrait"/>
          <w:cols w:equalWidth="0" w:num="2">
            <w:col w:w="2148" w:space="720"/>
            <w:col w:w="8100"/>
          </w:cols>
          <w:pgMar w:left="452" w:top="455" w:right="479" w:bottom="1440" w:gutter="0" w:footer="0" w:header="0"/>
          <w:type w:val="continuous"/>
        </w:sect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6,682,240 shares of Class A common stock issued and outstanding as of April 8, 2026 and assumes the full conversion of Series AAA Preferred – such number of shares excludes:</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144,236 shares of Class A common stock underlying the Company’s outstanding shares of Series A Preferred Stock;</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91,563 shares of Class A common stock issuable upon exercise of outstanding stock options;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164,920 shares of Class A common stock issuable upon vesting of restricted stock units (“RSUs”);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119,440 shares of Class A common stock issuable upon exercise of outstanding warrants;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6,013 shares of Class A common stock issuable upon conversion of outstanding convertible debt securities;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pursuant to a $25 million Equity Purchase Agreement;</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Rights to acquire up to 1.200 shares of our Class A common stock (see “Description of Securities” for further information regarding the Rights); and</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1,006,372 shares of Class A common stock reserved for future issuance under our 2024 Equity Incentive Plan.</w:t>
      </w:r>
    </w:p>
    <w:p>
      <w:pPr>
        <w:spacing w:after="0" w:line="22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The number of shares of Class A common stock referenced above assume that no outstanding stock options or warrants are exercised, no outstanding shares of Series A Preferred Stock, Series AA Preferred Stock or Series B Preferred Stock are converted, no outstanding convertible notes or Rights are converted, and new stock options or warrants are issued.</w:t>
      </w: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8"/>
          </w:cols>
          <w:pgMar w:left="452" w:top="455" w:right="47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prospectus supplement, and in the documents we incorporate by reference, you should carefully consider the risks discussed under the heading “Risk Factors” in our Annual Report on Form 10-K for the fiscal year ended December 31, 2025 before making a decision about investing in our securities. The risks and uncertainties discussed in our Annual Report on Form 10-K for the fiscal year ended December 31, 2025 are not the only ones facing us. Additional risks and uncertainties not presently known to us may also harm our business. If any of these risks occur, our business, financial condition and operating results could be harmed, the trading price of our Class A common stock could decline and you could lose part or all of your investment.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by the Selling Stockholders pursuant to this prospectus. However, we will benefit from the extinguishment of the notes which are cancelled in connection with note conversions. The Selling Stockholders will pay any agent’s commissions and expenses they incur for brokerage, accounting, tax or legal services or any other expenses that they incur in disposing of the Shares. We will bear all other costs, fees and expenses incurred in effecting the registration of the Shares covered by this prospectus and any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the Company entered into subscription agreements (collectively, the “Subscription Agreements”) with the Selling Stockholders, pursuant to which the Selling Stockholders converted and cancelled an aggregate of $3,450,271 of outstanding indebtedness of the Company in exchange for shares of the Company’s Class A common stock, and shares of the Company’s Series AAA Preferred Stock, par value $0.001 per share (“Series AAA Preferred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common stock subscription agreements, the Company cancelled an aggregate of $1,921,771 of outstanding notes in exchange for 1,707,900 shares of Class A Common Stock. Pursuant to the preferred stock subscription agreements, the Company cancelled an aggregate of $1,528,500 of outstanding notes in exchange for 1,529 shares of Series AAA Preferred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Series AAA Preferred Stock are convertible into shares of Class A Common Stock in three tranches. In the first tranche, one-third of the 1,529 shares of Series AAA Preferred Stock is convertible into 200,400 shares of Class A Common Stock. In the second tranche, one-third of the 1,529 shares of Series AAA Preferred Stock is convertible into 143,151 shares of Class A Common Stock. In the third tranche, one-third of the 1,529 shares of Series AAA Preferred Stock is convertible into 111,340 shares of Class A Common Stock. See the section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for additional information regarding the Series AAA Preferred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prepared this prospectus to allow the Selling Stockholders or their pledgees, donees, transferees or other successors in interest, to sell or otherwise dispose of, from time to time, up to 2,162,791 Shares of Class A common stock.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certain registration rights that we granted to the Selling Stockholders, we filed with the SEC the Registration Statement, with respect to the resale or other disposition of the Shares offered by this prospectus from time to time on Nasdaq Capital Market, in privately negotiated transactions or otherwise. Under the Conversion Agreements we entered into with the Selling Stockholders, we agreed to keep such registration statement effective and to keep this prospectus available for use by the Selling Stockholders until all of the securities covered by the registration statement have been sold or may be sold without restriction under Rule 144.</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of the Selling Stockholders and the aggregate number of Shares that the Selling Stockholders may offer and sell pursuant to this prospectus, as well as other information regarding the beneficial ownership (as determined under Section 13(d) of the Exchange Act and the rules and regulations thereunder) of the shares of Class A common stock of the Company held by the Selling Stockholders.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some, all or none of the Shares. We do not know how long the Selling Stockholders will hold the Shares before selling them, and we currently have no agreements, arrangements or understandings with the Selling Stockholders regarding the sale or other disposition of any of the Shares. The Shares may be offered and sold from time to time by the Selling Stockholders pursuant to this prospectus. The information below assumes the offer and sale of all Shares beneficially owned by the Selling Stockholders and available for sale under this prospectus and assumes no further acquisitions or dispositions of Shares by the Selling Stockholders. The information set forth below is based upon information obtained from the Selling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 Shares of Common</w:t>
            </w:r>
          </w:p>
        </w:tc>
        <w:tc>
          <w:tcPr>
            <w:tcW w:w="60" w:type="dxa"/>
            <w:vAlign w:val="bottom"/>
          </w:tcPr>
          <w:p>
            <w:pPr>
              <w:spacing w:after="0"/>
              <w:rPr>
                <w:sz w:val="17"/>
                <w:szCs w:val="17"/>
                <w:color w:val="auto"/>
              </w:rPr>
            </w:pPr>
          </w:p>
        </w:tc>
        <w:tc>
          <w:tcPr>
            <w:tcW w:w="14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26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Common</w:t>
            </w:r>
          </w:p>
        </w:tc>
        <w:tc>
          <w:tcPr>
            <w:tcW w:w="2600" w:type="dxa"/>
            <w:vAlign w:val="bottom"/>
            <w:gridSpan w:val="4"/>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Stock Beneficially Owned After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 Beneficially Owned Prior</w:t>
            </w:r>
          </w:p>
        </w:tc>
        <w:tc>
          <w:tcPr>
            <w:tcW w:w="6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Stock to be</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the Maximum Number of</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 Effective Date of this</w:t>
            </w:r>
          </w:p>
        </w:tc>
        <w:tc>
          <w:tcPr>
            <w:tcW w:w="6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Offered</w:t>
            </w: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gridSpan w:val="4"/>
          </w:tcPr>
          <w:p>
            <w:pPr>
              <w:jc w:val="center"/>
              <w:ind w:right="200"/>
              <w:spacing w:after="0" w:line="256" w:lineRule="exact"/>
              <w:rPr>
                <w:sz w:val="20"/>
                <w:szCs w:val="20"/>
                <w:color w:val="auto"/>
              </w:rPr>
            </w:pPr>
            <w:r>
              <w:rPr>
                <w:rFonts w:ascii="Times New Roman" w:cs="Times New Roman" w:eastAsia="Times New Roman" w:hAnsi="Times New Roman"/>
                <w:sz w:val="18"/>
                <w:szCs w:val="18"/>
                <w:b w:val="1"/>
                <w:bCs w:val="1"/>
                <w:color w:val="auto"/>
                <w:w w:val="93"/>
              </w:rPr>
              <w:t>Prospectus</w:t>
            </w:r>
            <w:r>
              <w:rPr>
                <w:rFonts w:ascii="Times New Roman" w:cs="Times New Roman" w:eastAsia="Times New Roman" w:hAnsi="Times New Roman"/>
                <w:sz w:val="29"/>
                <w:szCs w:val="29"/>
                <w:b w:val="1"/>
                <w:bCs w:val="1"/>
                <w:color w:val="auto"/>
                <w:w w:val="93"/>
                <w:vertAlign w:val="superscript"/>
              </w:rPr>
              <w:t>(1)</w:t>
            </w: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Pursuant to this</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Hereby are Sold</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Keating</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225,593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135,593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Christopher Jordan</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84,746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84,746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Omar Mattar</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162,602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162,602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Jay MacMaster</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81,301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81,301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Jodi &amp; Lee Paulus</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134,528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133,929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Usha Thakrar</w:t>
            </w:r>
            <w:r>
              <w:rPr>
                <w:rFonts w:ascii="Times New Roman" w:cs="Times New Roman" w:eastAsia="Times New Roman" w:hAnsi="Times New Roman"/>
                <w:sz w:val="29"/>
                <w:szCs w:val="29"/>
                <w:color w:val="auto"/>
                <w:vertAlign w:val="superscript"/>
              </w:rPr>
              <w:t>(7)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Manish Thakrar</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Jonathan Brown</w:t>
            </w:r>
            <w:r>
              <w:rPr>
                <w:rFonts w:ascii="Times New Roman" w:cs="Times New Roman" w:eastAsia="Times New Roman" w:hAnsi="Times New Roman"/>
                <w:sz w:val="29"/>
                <w:szCs w:val="29"/>
                <w:color w:val="auto"/>
                <w:vertAlign w:val="superscript"/>
              </w:rPr>
              <w:t>(9)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133,929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133,929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Joe &amp; Diana Campano</w:t>
            </w:r>
            <w:r>
              <w:rPr>
                <w:rFonts w:ascii="Times New Roman" w:cs="Times New Roman" w:eastAsia="Times New Roman" w:hAnsi="Times New Roman"/>
                <w:sz w:val="29"/>
                <w:szCs w:val="29"/>
                <w:color w:val="auto"/>
                <w:vertAlign w:val="superscript"/>
              </w:rPr>
              <w:t>(10)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42,513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Gabriel Hyams</w:t>
            </w:r>
            <w:r>
              <w:rPr>
                <w:rFonts w:ascii="Times New Roman" w:cs="Times New Roman" w:eastAsia="Times New Roman" w:hAnsi="Times New Roman"/>
                <w:sz w:val="29"/>
                <w:szCs w:val="29"/>
                <w:color w:val="auto"/>
                <w:vertAlign w:val="superscript"/>
              </w:rPr>
              <w:t>(11)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94,340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94,340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Fadi Daher</w:t>
            </w:r>
            <w:r>
              <w:rPr>
                <w:rFonts w:ascii="Times New Roman" w:cs="Times New Roman" w:eastAsia="Times New Roman" w:hAnsi="Times New Roman"/>
                <w:sz w:val="29"/>
                <w:szCs w:val="29"/>
                <w:color w:val="auto"/>
                <w:vertAlign w:val="superscript"/>
              </w:rPr>
              <w:t>(12)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Gerald Pitzer</w:t>
            </w:r>
            <w:r>
              <w:rPr>
                <w:rFonts w:ascii="Times New Roman" w:cs="Times New Roman" w:eastAsia="Times New Roman" w:hAnsi="Times New Roman"/>
                <w:sz w:val="29"/>
                <w:szCs w:val="29"/>
                <w:color w:val="auto"/>
                <w:vertAlign w:val="superscript"/>
              </w:rPr>
              <w:t>(13)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94,340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94,340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Kimberly &amp; David Lochridge</w:t>
            </w:r>
            <w:r>
              <w:rPr>
                <w:rFonts w:ascii="Times New Roman" w:cs="Times New Roman" w:eastAsia="Times New Roman" w:hAnsi="Times New Roman"/>
                <w:sz w:val="29"/>
                <w:szCs w:val="29"/>
                <w:color w:val="auto"/>
                <w:vertAlign w:val="superscript"/>
              </w:rPr>
              <w:t>(14)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188,649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Michael Fazio</w:t>
            </w:r>
            <w:r>
              <w:rPr>
                <w:rFonts w:ascii="Times New Roman" w:cs="Times New Roman" w:eastAsia="Times New Roman" w:hAnsi="Times New Roman"/>
                <w:sz w:val="29"/>
                <w:szCs w:val="29"/>
                <w:color w:val="auto"/>
                <w:vertAlign w:val="superscript"/>
              </w:rPr>
              <w:t>(15)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77,122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77,122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Shriya Thakrar</w:t>
            </w:r>
            <w:r>
              <w:rPr>
                <w:rFonts w:ascii="Times New Roman" w:cs="Times New Roman" w:eastAsia="Times New Roman" w:hAnsi="Times New Roman"/>
                <w:sz w:val="29"/>
                <w:szCs w:val="29"/>
                <w:color w:val="auto"/>
                <w:vertAlign w:val="superscript"/>
              </w:rPr>
              <w:t>(16)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5,665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William Harris </w:t>
            </w:r>
            <w:r>
              <w:rPr>
                <w:rFonts w:ascii="Times New Roman" w:cs="Times New Roman" w:eastAsia="Times New Roman" w:hAnsi="Times New Roman"/>
                <w:sz w:val="29"/>
                <w:szCs w:val="29"/>
                <w:color w:val="auto"/>
                <w:vertAlign w:val="superscript"/>
              </w:rPr>
              <w:t>(17)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197,829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188,679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Wolfswinkel</w:t>
            </w:r>
            <w:r>
              <w:rPr>
                <w:rFonts w:ascii="Times New Roman" w:cs="Times New Roman" w:eastAsia="Times New Roman" w:hAnsi="Times New Roman"/>
                <w:sz w:val="29"/>
                <w:szCs w:val="29"/>
                <w:color w:val="auto"/>
                <w:vertAlign w:val="superscript"/>
              </w:rPr>
              <w:t>(18)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116,920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116,920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Naseem Rashid</w:t>
            </w:r>
            <w:r>
              <w:rPr>
                <w:rFonts w:ascii="Times New Roman" w:cs="Times New Roman" w:eastAsia="Times New Roman" w:hAnsi="Times New Roman"/>
                <w:sz w:val="29"/>
                <w:szCs w:val="29"/>
                <w:color w:val="auto"/>
                <w:vertAlign w:val="superscript"/>
              </w:rPr>
              <w:t>(19)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217,391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217,391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Charlie Dell</w:t>
            </w:r>
            <w:r>
              <w:rPr>
                <w:rFonts w:ascii="Times New Roman" w:cs="Times New Roman" w:eastAsia="Times New Roman" w:hAnsi="Times New Roman"/>
                <w:sz w:val="29"/>
                <w:szCs w:val="29"/>
                <w:color w:val="auto"/>
                <w:vertAlign w:val="superscript"/>
              </w:rPr>
              <w:t>(20)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89,886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John &amp; Kathleen Schmadeke</w:t>
            </w:r>
            <w:r>
              <w:rPr>
                <w:rFonts w:ascii="Times New Roman" w:cs="Times New Roman" w:eastAsia="Times New Roman" w:hAnsi="Times New Roman"/>
                <w:sz w:val="29"/>
                <w:szCs w:val="29"/>
                <w:color w:val="auto"/>
                <w:vertAlign w:val="superscript"/>
              </w:rPr>
              <w:t>(21)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29,963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29,963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Willard Edison</w:t>
            </w:r>
            <w:r>
              <w:rPr>
                <w:rFonts w:ascii="Times New Roman" w:cs="Times New Roman" w:eastAsia="Times New Roman" w:hAnsi="Times New Roman"/>
                <w:sz w:val="29"/>
                <w:szCs w:val="29"/>
                <w:color w:val="auto"/>
                <w:vertAlign w:val="superscript"/>
              </w:rPr>
              <w:t>(22)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59,925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Scott McLaren</w:t>
            </w:r>
            <w:r>
              <w:rPr>
                <w:rFonts w:ascii="Times New Roman" w:cs="Times New Roman" w:eastAsia="Times New Roman" w:hAnsi="Times New Roman"/>
                <w:sz w:val="29"/>
                <w:szCs w:val="29"/>
                <w:color w:val="auto"/>
                <w:vertAlign w:val="superscript"/>
              </w:rPr>
              <w:t>(23)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29,056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29,056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Todd Lund</w:t>
            </w:r>
            <w:r>
              <w:rPr>
                <w:rFonts w:ascii="Times New Roman" w:cs="Times New Roman" w:eastAsia="Times New Roman" w:hAnsi="Times New Roman"/>
                <w:sz w:val="29"/>
                <w:szCs w:val="29"/>
                <w:color w:val="auto"/>
                <w:vertAlign w:val="superscript"/>
              </w:rPr>
              <w:t>(24)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37,227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Heeten Mehta</w:t>
            </w:r>
            <w:r>
              <w:rPr>
                <w:rFonts w:ascii="Times New Roman" w:cs="Times New Roman" w:eastAsia="Times New Roman" w:hAnsi="Times New Roman"/>
                <w:sz w:val="29"/>
                <w:szCs w:val="29"/>
                <w:color w:val="auto"/>
                <w:vertAlign w:val="superscript"/>
              </w:rPr>
              <w:t>(25)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75,360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75,360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Enrique Eichner</w:t>
            </w:r>
            <w:r>
              <w:rPr>
                <w:rFonts w:ascii="Times New Roman" w:cs="Times New Roman" w:eastAsia="Times New Roman" w:hAnsi="Times New Roman"/>
                <w:sz w:val="29"/>
                <w:szCs w:val="29"/>
                <w:color w:val="auto"/>
                <w:vertAlign w:val="superscript"/>
              </w:rPr>
              <w:t>(26)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Steve Lahiji</w:t>
            </w:r>
            <w:r>
              <w:rPr>
                <w:rFonts w:ascii="Times New Roman" w:cs="Times New Roman" w:eastAsia="Times New Roman" w:hAnsi="Times New Roman"/>
                <w:sz w:val="29"/>
                <w:szCs w:val="29"/>
                <w:color w:val="auto"/>
                <w:vertAlign w:val="superscript"/>
              </w:rPr>
              <w:t>(27)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14,528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14,528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Patrick &amp; Teresa Barnwell</w:t>
            </w:r>
            <w:r>
              <w:rPr>
                <w:rFonts w:ascii="Times New Roman" w:cs="Times New Roman" w:eastAsia="Times New Roman" w:hAnsi="Times New Roman"/>
                <w:sz w:val="29"/>
                <w:szCs w:val="29"/>
                <w:color w:val="auto"/>
                <w:vertAlign w:val="superscript"/>
              </w:rPr>
              <w:t>(28)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30,585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Pearl Wilbur</w:t>
            </w:r>
            <w:r>
              <w:rPr>
                <w:rFonts w:ascii="Times New Roman" w:cs="Times New Roman" w:eastAsia="Times New Roman" w:hAnsi="Times New Roman"/>
                <w:sz w:val="29"/>
                <w:szCs w:val="29"/>
                <w:color w:val="auto"/>
                <w:vertAlign w:val="superscript"/>
              </w:rPr>
              <w:t>(29)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14,588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14,528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than 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540" w:right="1760" w:hanging="5532"/>
        <w:spacing w:after="0" w:line="767" w:lineRule="auto"/>
        <w:tabs>
          <w:tab w:leader="none" w:pos="4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our Class A common stock outstanding as of April 8, 2026.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357" w:gutter="0" w:footer="0" w:header="0"/>
        </w:sectPr>
      </w:pPr>
    </w:p>
    <w:bookmarkStart w:id="15" w:name="page16"/>
    <w:bookmarkEnd w:id="15"/>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135,593 shares of Class A common stock held by the Selling Stockholder. The address for Matthew Keating is 92 Morningside Ave Apt 6C, New York, NY 10027.</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Applicable percentage ownership is based on 6,682,240 shares of Class A common stock outstanding as of April 8, 2026, 84,746 shares of Class A common stock held by the Selling Stockholder. The address for Jordan-Kramm Trust is 1228 Madison Avenue, San Diego, CA 92116.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162,602 shares of Class A common stock held by the Selling Stockholder. The address for Omar Mattar is 5420 Camberwell Ln, Riverview, FL 33578.</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81,301 shares of Class A common stock held by the Selling Stockholder. The address for Directed Trust Company FBO Jay MacMaster IRA is 3033 N Central Ave, Ste 415, Phoenix, AZ 85012.</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133,929 shares of Class A common stock held by the Selling Stockholder. The address for Lee Paulus &amp; Jodi Ann Paulus Trust is 6623 S. Teresa Drive, Chandler, AZ 85249.</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2,829 shares of Class A common stock held by the Selling Stockholder. The address for Vantage FBO Usha Thakrar Roth IRA #0030727 is 8742 E Via De Commercio, Scottsdale, AZ 85258.</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1,180 shares of Class A common stock held by the Selling Stockholder. The address for Vantage FBO Manish Thakrar ROTH IRA #0031046 is 8742 E Via De Commercio, Scottsdale, AZ 85258.</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133,929 shares of Class A common stock held by the Selling Stockholder. The address for Jonathan Brown is 1604 Juliet St, Austin, TX 78704.</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18,868 shares of Class A common stock 23,607 shares of Class A common stock issuable upon conversion of the Series AAA Preferred held by the Selling Stockholder. The address for Joseph J &amp; Diana M Campano is 8 Laurel Ridge Trail, Clinton, CT 06413.</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94,340 shares of Class A common stock held by the Selling Stockholder. The address for Directed Trust Company FBO Gabriel Hyams IRA is 3033 N. Central Ave, Ste 415, Phoenix, AZ 85012.</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18,868 shares of Class A common stock held by the Selling Stockholder. The address for Fadi Daher is 2119 Star Meadow Cove, Germantown, TN 38139.</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94,340 shares of Class A common stock held by the Selling Stockholder. The address for AltoIRA Custodian f/b/o Gerald Pitzer Roth IRA is 320 Osuna Rd NE Unit G-1, Albuquerque, NM 87107.</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188,649 shares of Class A common stock held by the Selling Stockholder. The address for The Kave Family Living Trust is 8226 E Davenport Dr, Scottsdale, AZ 85260.</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58,962 shares of Class A common stock and 18,160 shares of Class A common stock issuable upon conversion of the Series AAA Preferred held by the Selling Stockholder. The address for Michael Fazio is 18 Woodcrest Dr, Morristown, NJ 07960.</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4,737 shares of Class A common stock held by the Selling Stockholder. The address for Vantage FBO Shriya Thakrar Roth IRA #0030728 is 8742 E Via De Commercio, Scottsdale, AZ 85258.</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188,679 shares of Class A common stock held by the Selling Stockholder. The address for Geetain, LLC is 17954 E Fort Verde Rd, Rio Verde, AZ 85263.</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86,957 shares of Class A common stock and 29,963 shares of Class A common stock issuable upon conversion of the Series AAA Preferred held by the Selling Stockholder. The address for David L. Wolfswinkel Trust is 3850 E. Baseline Road Suite 123, Mesa, AZ 85206.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46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217,391 shares of Class A common stock held by the Selling Stockholder. The address Naseem Rashid is 7025 Murillo Lane, Carlsbad, CA 92009.</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89,886 shares of Class A common stock issuable upon conversion of the Series AAA Preferred held by the Selling Stockholder. The address for Charlie H. Dell is 30 W Cochise Dr., Phoenix, AZ 85021.</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29,963 shares of Class A common stock issuable upon conversion of the Series AAA Preferred held by the Selling Stockholder. The address for John F. Schmadeke &amp; Kathleen M. Schmadeke is 20465 W Thayer St, Buckeye, AZ 85396.</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59,925 shares of Class A common stock issuable upon conversion of the Series AAA Preferred held by the Selling Stockholder. The address for Comstock Holdings, LLC is 6043 Hatton Place, Ferndale, WA 98248.</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29,056 shares of Class A common stock issuable upon conversion of the Series AAA Preferred held by the Selling Stockholder. The address for Scott McLaren is 319 S Sheridan Blvd, Lakewood , CO 80226 and the address for Scott McLaren Roth IRA is 319 S Sheridan Blvd, Lakewood, CO 80226.</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37,227 shares of Class A common stock issuable upon conversion of the Series AAA Preferred held by the Selling Stockholder. The address for Todd Lund is 4302 Satinwood Dr, Las Vegas, NV 89147.</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75,360 shares of Class A common stock issuable upon conversion of the Series AAA Preferred held by the Selling Stockholder. The address for Heeten Mehta is 3127 W Quail Track Dr, Phoenix, AZ 85085.</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2,725 shares of Class A common stock issuable upon conversion of the Series AAA Preferred held by the Selling Stockholder. The address for Directed Trust Company FBO Enrique Eichner IRA is 3033 N Central Ave, Ste 415, Phoenix, AZ 85012.</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14,528 shares of Class A common stock issuable upon conversion of the Series AAA Preferred held by the Selling Stockholder. The address for Steve Lahiji is 1408 Grant Street, Santa Monica, CA 90405.</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 8, 2026, 29,963 shares of Class A common stock issuable upon conversion of the Series AAA Preferred held by the Selling Stockholder. The address for Patrick R. Barnwell and Teresa L. Paluszcyk Revocable Trust is P.O. Box 9309, Phoenix, AZ 85068.</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6,682,240 shares of Class A common stock outstanding as of April8, 2026, 14,528 shares of Class A common stock issuable upon conversion of the Series AAA Preferred held by the Selling Stockholder. The address for The Wilbur Trust is 20201 N. Sonnett Drive, Sun City West, AZ 85375.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third amended and restated certificate of incorporation and amended and restated bylaws. We refer in this section to our third amended and restated certificate of incorporation as our certificate of incorporation, and we refer to our amended and restated bylaws as our bylaws.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important terms of the classes of our capital stock. The descriptions in this prospectus of our securities and our organizational documents do not purport to be complete and are subject to, and qualified in their entirety by reference to, our organizational documents, copies of which have been or will be filed or incorporated by reference as exhibits to the registration statement of which this prospectus form a part.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up to 137,500,000 shares of capital stock, of which (i) 100,000,000 shares are Class A common stock with a par value $0.001 per share; (ii) 15,000,000 shares are Class B common stock with a par value $0.001 per share; and (iii) 22,500,000 shares are preferred stock with a par value of $0.001 per share of which 750,000, 800,000, 50,000 and 40,000 shares have been designated as Series A Preferred Stock with a par value of $0.001 per share, Series AA Preferred Stock with a par value of $0.001 per share, Series B Preferred Stock with a par value of $0.001 per share, Series</w:t>
      </w:r>
    </w:p>
    <w:p>
      <w:pPr>
        <w:spacing w:after="0" w:line="3" w:lineRule="exact"/>
        <w:rPr>
          <w:sz w:val="20"/>
          <w:szCs w:val="20"/>
          <w:color w:val="auto"/>
        </w:rPr>
      </w:pPr>
    </w:p>
    <w:p>
      <w:pPr>
        <w:jc w:val="both"/>
        <w:ind w:firstLine="8"/>
        <w:spacing w:after="0" w:line="255" w:lineRule="auto"/>
        <w:tabs>
          <w:tab w:leader="none" w:pos="4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with a par value of $0.001 per share, respectively. As of April 8, 2026, there were 6,682,240 shares of Class A common stock, 370,822 shares of Class B common stock, 5,875 shares of Series A Preferred Stock, 301,337 shares of Series AA Preferred Stock, 0 shares of Series B Preferred Stock issued and outstanding, 1,529 shares of Series AAA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Voting. The holders of the Class A common stock are entitled to one (1) vote for each share of Class A common stock held at all meetings of stockholders (and written actions in lieu of meetings). The Class A common stock is not subject to cumulative voting. The Class A common stock and Class B common stock vote together as a single class on all matters submitted to a vote of our stockholders, except as may otherwise be required by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Subject to the preferences applicable to the Preferred Stock, the holders of the Class A common stock are entitled to, on an equal basis with the holders of Class B common stock,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Voting. The holders of the Class B common stock are entitled to ten (10) votes for each share of Class B common stock held at all meetings of stockholders (and written actions in lieu of meetings). The Class B common stock is not subject to cumulative voting. The Class A common stock and Class B common stock vote together as a single class on all matters submitted to a vote of our stockholders, except as may otherwise be required by law. On May 15, 2026, the Class B common stock will automatically convert into Class A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Subject to the preferences applicable to the preferred stock, the holders of the Class B common stock are entitled to, on an equal basis with the holders of Class A common stock,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B common stock is convertible at any time by the holder into shares of Class A common stock on a share-for-share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26, 2024, we filed the Series A Certificate of Designation with the Secretary of State of the State of Delaware to establish the preferences, voting powers, limitations as to dividends or other distributions, qualifications, terms and conditions of redemption and other terms and conditions of the Company’s Series A Preferred Stock. On April 9, 2026, we amended the Series A Certificate of Designation. The Series A Preferred Stock is subject to certain rights, preferences, privileges, and obligations, including voluntary and mandatory conversion provisions, as well as beneficial ownership restrictions and share cap limitations, as set forth in the Series A Certificate of Designation. The following is a summary description of the terms and the general effect of the issuance of the shares of Series A Preferred Stock on the Company’s other classes of registered securities.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Stated Value. Each share of Series A Preferred Stock has an initial stated value of $400.00, subject to appropriate adjustment in relation to certain events, such as recapitalizations, stock dividends, stock splits, stock combinations, reclassifications or similar events affecting our Series A Preferred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The holders of the shares of Series A Preferred Stock will be entitled to receive a twelve percent (12%) annual, non-cumulative dividend payable annually, at the Company’s option, (i) in cash or (ii) in shares of the Company’s Class A common stock, at a price per share of Class A Common Stock equal to the lower of (A) the average closing price of Class A Common Stock as quoted on the principal trading market, if any, in which the shares of Class A Common Stock then trade (“Principal Market”) for the five trading days immediately preceding the date of issuance, or (B) the closing price of the Class A Common Stock as quoted on the Principal Market on the trading day prior to the date of issuance, but in no event less than $20.00 per share.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Optional Conversion. At any time and from time to time, a holder of the shares of Series A Preferred Stock may, at its option, convert (i) up to thirty three and one-third percent (33.3%) of the holder’s total shares of Series A Preferred Stock (the “First Tranche Convertible Shares”) at a rate equal to the stated value divided by $2.50 (the “First Tranche Conversion Rate”), (ii) up to thirty three and one-third percent (33.3%) of the holder’s total shares of Series A Preferred Stock (the “Second Tranche Convertible Shares”) at a rate equal to the stated value divided by $3.50 (the “Second Tranche Conversion Rate”), and (iii) up to thirty three and one-third percent (33.3%) of the holder’s total shares of Series A Preferred Stock (the “Third Tranche Convertible Shares”) at a rate equal to the stated value divided by $4.50 (the “Third Tranche Conversion Rate”).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Voting Rights. The Series A Preferred Stock will have no voting rights relative to matters submitted to a vote of our stockholders (other than as required by law). However, we may not, without the affirmative vote or written consent of the holders of a majority of the then issued and outstanding Series A Preferred Stock: (i) amend or waive any provision of the certificate of designation or otherwise take any action that modifies any powers, rights, preferences, privileges or restrictions of the Series A Preferred Stock (other than an amendment solely for the purpose of changing the number of shares of Series A Preferred Stock designated for issuance as provided in the certificate of designation); (ii) authorize, create or issue shares of any class of stock having rights, preferences or privileges as to dividends or distributions upon a liquidation that are superior to the Series A Preferred Stock; or (iii) amend our certificate of incorporation in a manner that adversely and materially affects the rights of the Series A Preferred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Liquidation. In the event of any voluntary or involuntary liquidation, dissolution or winding up of the Company, the holders of shares of the Series A Preferred Stock then outstanding will be entitled to receive in cash out of the assets of the Company, whether from capital or from earnings available for distribution to its stockholders, before any amount will be paid to the holders of any of the capital stock of the Company of any class junior in rank to the Series A Preferred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Ranking. The Series A Preferred Stock ranks senior to our Series B Preferred Stock, Class A Common Stock and Class B common stock and pari passu with our Series AA Preferred Stock, with respect to the preferences provided for in the Certificate of Designation as to distributions and payments upon the liquidation, dissolution and winding up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Redemption. The Company has the right to redeem the outstanding shares of the Series A Preferred Stock at an amount equal to the Liquidation Preference, provided that the holders of Series A Preferred Stock are granted thirty (30) calendar days to first exercise their conversion rights. “Liquidation Preference” means, with respect to each outstanding share of Series A Preferred Stock, the sum of: (i) the amount of all accrued but unpaid dividends on such share; plus (ii) the product of the stated value multiplied by 120%.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Amendments. The Certificate of Designation may be amended by obtaining the affirmative vote of a majority of the outstanding shares of Series A Preferred Stock, voting separately as a single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AA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2025, we filed a certificate of designation with the Delaware Secretary of State to establish our Series AA Preferred Stock which we designated as “Series AA Cumulative Redeemable Preferred Stock.” Our Series AA Preferred Stock has the following voting powers, designations, preferences and relative rights, qualifications, limitations, or restrictions: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Ranking. The Series AA Preferred Stock ranks, as to dividend rights and rights upon our liquidation, dissolution, or winding up, senior to our Series B Preferred Stock, Class A Common Stock and Class B common stock and pari passu with our Series A Preferred Stock. The terms of the Series AA Preferred Stock do not limit our ability to (i) incur indebtedness or (ii) issue additional equity securities that are equal or junior in rank to the shares of our Series AA Preferred Stock as to distribution rights and rights upon our liquidation, dissolution or winding up.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Stated Value. Each share of Series AA Preferred Stock has an initial stated value of $25.00, which is equal to the offering price per share, subject to appropriate adjustment in relation to certain events, such as recapitalizations, stock dividends, stock splits, stock combinations, reclassifications or similar events affecting our Series AA Preferred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 Rate and Payment Dates. Dividends on the Series AA Preferred Stock are cumulative and payable monthly in arrears to all holders of record on the applicable record date. Holders of our Series AA Preferred Stock are entitled to receive cumulative monthly cash dividends at a per annum rate of 9.5% of the stated value (or $0.198 per share each month based on the initial stated value). Dividends on each share begin accruing on, and are cumulative from, the date of issuance and regardless of whether our board of directors declares and pays such dividends. Our board of directors will not authorize, pay or set apart for payment by us any dividend on the Series AA Preferred Stock at any time that:</w:t>
      </w:r>
    </w:p>
    <w:p>
      <w:pPr>
        <w:spacing w:after="0" w:line="183"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any of our agreements, including any agreement relating to our indebtedness, prohibits such authorization, payment or setting apart for payment;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any of our agreements, including any agreement relating to our indebtedness, provides that such authorization, payment or setting apart for payment thereof would constitute a breach of, or a default under, such agreement;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restricts or prohibits the authorization or payment.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shares of our Series AA Preferred Stock will continue to accrue even if</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any of our agreements relating to our indebtedness prohibit such authorization, payment or setting apart for payment;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earnings;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funds legally available for the payment of the dividends;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are authorized.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the monthly payment of dividends is not made within 30 days of the due date, dividends will accrue from the due date of such monthly payment at the rate of 18% until such default is cured.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Liquidation Preference. Upon a liquidation, dissolution or winding up of our company, holders of shares of our Series AA Preferred Stock are entitled to receive, before any payment or distribution is made to the holders of our Common Stock and on a pari passu basis with holders of our Series AA Preferred Stock and Series A Preferred Stock, a liquidation preference equal to the stated value per share, plus accrued but unpaid dividends thereon.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Redemption Request at the Option of a Holder. Once per calendar quarter, a holder will have the opportunity to request that we redeem that holder’s Series</w:t>
      </w:r>
    </w:p>
    <w:p>
      <w:pPr>
        <w:spacing w:after="0" w:line="27" w:lineRule="exact"/>
        <w:rPr>
          <w:sz w:val="20"/>
          <w:szCs w:val="20"/>
          <w:color w:val="auto"/>
        </w:rPr>
      </w:pPr>
    </w:p>
    <w:p>
      <w:pPr>
        <w:jc w:val="both"/>
        <w:ind w:firstLine="8"/>
        <w:spacing w:after="0" w:line="252" w:lineRule="auto"/>
        <w:tabs>
          <w:tab w:leader="none" w:pos="3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Our board of directors may, however, suspend cash redemptions at any time in its discretion if it determines that it would not be in the best interests of our Company to effectuate cash redemptions at a given time because we do not have sufficient cash, including because our board believes that our cash on hand should be utilized for other business purposes. Redemptions will be limited to four percent (4%) of the total outstanding Series AA Preferred Stock per quarter and any redemptions in excess of such limit or to the extent suspended, shall be redeemed in subsequent quarters on a first come, first served, basis. We will redeem shares at a redemption price equal to the stated value of such redeemed shares, plus any accrued but unpaid dividends thereon, less the applicable redemption fee (if any). As a percentage of the aggregate redemption price of a holder’s shares to be redeemed, the redemption fee shall be: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if the redemption is requested on or before the first anniversary of the original issuance of such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if the redemption is requested after the first anniversary and on or before the second anniversary of the original issuance of such shares;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if the redemption is requested after the second anniversary and on or before the third anniversary of the original issuance of such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the certificate of designation, which has been filed as an exhibit to the offering statement of which this offering circular forms a part, for the procedures to request a redemption.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Optional Redemption by our Company. We have the right (but not the obligation) to redeem shares of Series AA Preferred Stock at a redemption price equal to the stated value of such redeemed shares, plus any accrued but unpaid dividends thereon.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Mandatory Redemption by our Company. We are required to redeem the outstanding shares of Series AA Preferred Stock on the third (3rd) anniversary of their issuance at a redemption price equal to the stated value of such redeemed shares, plus any accrued but unpaid dividends thereon.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Optional Repurchase Upon Death, Disability or Bankruptcy of a Holder. Subject to certain restrictions and conditions, we will also repurchase shares of Series AA Preferred Stock of a holder who is a natural person (including an individual beneficial holder who holds shares through a custodian or nominee, such as a broker-dealer) upon his or her death, total disability or bankruptcy, within sixty (60) days of our receipt of a written request from the holder or the holder’s estate at a repurchase price equal to the stated value, plus accrued and unpaid dividends thereon. A “total disability” means a determination by a physician approved by us that a holder, who was gainfully employed and working at least forty (40) hours per week as of the date on which his or her shares were purchased, has been unable to work forty (40) or more hours per week for at least twenty-four (24) consecutive months. Please see the certificate of designation, the form of which has been filed as an exhibit to the offering statement of which this offering circular forms a part, for the procedures to request a repurchase.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Restrictions on Redemption and Repurchase. We are not obligated to redeem or repurchase shares of Series AA Preferred Stock if we are restricted by applicable law or our articles of incorporation from making such redemption or repurchase or to the extent any such redemption or repurchase would cause or constitute a default under any borrowing agreements to which we or any of our subsidiaries are a party or otherwise bound. In addition, we have no obligation to redeem shares in connection with a redemption request made by a holder if we determine, as of the redemption date, that we do not have sufficient funds available to fund that redemption. In this regard, we will have complete discretion under the certificate of designation for the Series AA Preferred Stock to determine whether we are in possession of “sufficient funds” to fund a redemption request. To the extent we are unable to complete redemptions we may have earlier agreed to make, we will complete those redemptions promptly after we become able to do so, with all such deferred redemptions being satisfied on a first come, first served, basis.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Voting Rights. The Series AA Preferred Stock has no voting rights relative to matters submitted to a vote of our stockholders (other than as required by law). However, we may not, without the affirmative vote or written consent of the holders of a majority of the then issued and outstanding Series AA Preferred Stock: (i) amend or waive any provision of the certificate of designation or otherwise take any action that modifies any powers, rights, preferences, privileges or restrictions of the Series AA Preferred Stock (other than an amendment solely for the purpose of changing the number of shares of Series AA Preferred Stock designated for issuance as provided in the certificate of designation); (ii) authorize, create or issue shares of any class of stock having rights, preferences or privileges as to dividends or distributions upon a liquidation that are superior to the Series AA Preferred Stock; or (iii) amend our certificate of incorporation in a manner that adversely and materially affects the rights of the Series AA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Conversion Right. At the third anniversary of the issuance date of a share of Series AA Preferred Stock, a holder may elect, with the prior written consent of the Company, which consent may be unreasonably withheld, to convert all or any portion of such then outstanding shares of Series AA Preferred Stock held by it into that number of shares of our Class A Common Stock determined by dividing the then Stated Value of such shares by the closing price of our Class A Common Stock as quoted on the Nasdaq Capital Market (the “NCM”) on the day prior to such date but in no event less than the closing price of our Class A Common Stock as quoted on the NCM on the day prior to the initial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11, 2025, we filed the Series B Certificate of Designation with the Secretary of State of the State of Delaware to establish the preferences, voting powers, limitations as to dividends or other distributions, qualifications, terms and conditions of redemption and other terms and conditions of the Company’s Series B Preferred Stock. The Series B Preferred Stock is subject to certain rights, preferences, privileges, and obligations, including voluntary conversion provisions, as well as beneficial ownership restrictions and share cap limitations, as set forth in the Series B Certificate of Designation. The following is a summary description of the terms and the general effect of the issuance of the shares of Series B Preferred Stock on the Company’s other classes of registered securities.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Stated Value. Each share of Series B Preferred Stock has an initial stated value of $1,000, subject to appropriate adjustment in relation to certain events, such as recapitalizations, stock dividends, stock splits, stock combinations, reclassifications or similar events affecting our Series B Preferred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Optional Conversion. At any time and from time to time, a holder of the shares of Series B Preferred Stock may, at its option, convert the holder’s shares of Series B Preferred Stock at a rate equal to the stated value divided by $250.00.</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Voting Rights. The Series B Preferred Stock will have no voting rights relative to matters submitted to a vote of our stockholders (other than as required by law). However, we may not, without the affirmative vote or written consent of the holders of a majority of the then issued and outstanding Series B Preferred Stock: (i) amend or waive any provision of the certificate of designation or otherwise take any action that modifies any powers, rights, preferences, privileges or restrictions of the Series B Preferred Stock (other than an amendment solely for the purpose of changing the number of shares of Series B Preferred Stock designated for issuance as provided in the certificate of designation); (ii) authorize, create or issue shares of any class of stock having rights, preferences or privileges as to dividends or distributions upon a liquidation that are superior to the Series B Preferred Stock; or (iii) amend our certificate of incorporation in a manner that adversely and materially affects the rights of the Series B Preferred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Liquidation. In the event of any voluntary or involuntary liquidation, dissolution or winding up of the Company, the holders of shares of the Series B Preferred Stock then outstanding will be entitled to receive in cash out of the assets of the Company, whether from capital or from earnings available for distribution to its stockholders, before any amount will be paid to the holders of any of the capital stock of the Company of any class junior in rank to the Series B Preferred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Ranking. The Series B Preferred Stock ranks senior to our Class A Common Stock and Class B common stock, junior to our Series A Preferred Stock and Series AA Preferred Stock and pari passu with any other class of preferred stock created with rights, preferences and privileges substantially similar to that of the Series B Preferred Stock with respect to the preferences provided for in the Certificate of Designation as to distributions and payments upon the liquidation, dissolution and winding up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Amendments. The Certificate of Designation may be amended by obtaining the affirmative vote of a majority of the outstanding shares of Series B Preferred Stock, voting separately as a single class.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a public offering of shares of our Class A Common stock in April 2025, we issued an aggregate of 120,000 (the “Rights”). Upon such date as the closing price of our Class A common stock on the Nasdaq Capital Market equals or exceeds $25.00 (the “Trigger Price”) for three consecutive trading days (the “Rights Trigger Event”), each Right will automatically convert into one-one hundredth (1/100) of one share of Class A common stock. No additional consideration will be required to be paid by a holder of Rights in order to receive its additional shares upon the occurrence of the Rights Trigger Event, as the consideration related thereto has been included in the Unit purchase price paid for by investors in this offering. If we enter into a definitive agreement for a business combination in which we will not be the surviving entity, the definitive agreement will provide for the holders of Rights to receive the same per share consideration the holders of the Class A common stock will receive in the transaction on an as-converted into ordinary share basis, and each holder of a right will be required to affirmatively convert its rights in order to receive the 1/100 share underlying each Right (without paying any additional consideration) upon consummation of the business combination. More specifically, the Right holder will be required to indicate its election to convert the rights into underlying shares as well as to return the original rights certificates to us. The Rights expire on January 17, 2026.</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soon as practicable upon the occurrence of the Rights Trigger Event, we will direct registered holders of the Rights to return their Rights to our rights agent. Upon receipt of the Rights, the rights agent will issue to the registered holder of such Rights the number of full Class A common shares to which it is entitled. We will notify registered holders of the Rights to deliver their Rights to the rights agent promptly upon the occurrence of the Rights Trigger Event and have been informed by the rights agent that the process of exchanging their rights for Class A common shares should take no more than a matter of days. The foregoing exchange of Rights is solely ministerial in nature and is not intended to provide us with any means of avoiding our obligation to issue the shares underlying the Rights upon the occurrence of the Rights Trigger Event. Other than confirming that the Rights delivered by a registered holder are valid, we will have no ability to avoid delivery of the shares underlying the Rights.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issuable upon conversion of the Rights will be freely tradable (except to the extent held by affiliates of ours). We will not issue fractional shares upon conversion of the Rights. Fractional shares will either be rounded down to the nearest whole share or otherwise addressed in accordance with the applicable provisions of Delaware law. As a result, a Right holder must hold Rights in multiples of 100 in order to receive shares for all of a holder’s Rights upon the occurrence of the Rights Trigger Event. Further, there are no contractual penalties for failure to deliver securities to the holders of the Rights upon the occurrence of the Rights Trigger Event.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rights agreement governing the Rights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We note, however, that there is uncertainty as to whether a court would enforce this provision and that investors cannot waive compliance with the federal securities laws and the rules and regulations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AAA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2026, we filed a certificate of designation with the Delaware Secretary of State to establish our Series AAA Convertible Preferred Stock which we designate as “Series AAA Preferred Stock.” Our Series AAA Preferred Stock has the following voting powers, designations, preferences and relative rights, qualifications, limitations, or restrictions: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Stated Value. Each share of Series AAA Preferred Stock has an initial stated value of $1,000.00, subject to appropriate adjustment in relation to certain events, such as recapitalizations, stock dividends, stock splits, stock combinations, reclassifications or similar events affecting the Company’s Series AAA Preferred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The holders of the shares of Series AAA Preferred Stock will be entitled to receive a twelve percent (12%) annual, non-cumulative dividend payable quarterly, at the Company’s option, (i) in cash or (ii) in shares of the Company’s Class A common stock, at a price per share of Class A Common Stock equal to the lower of (A) the average closing price of Class A Common Stock as quoted on the principal trading market, if any, in which the shares of Class A Common Stock then trade (“Principal Market”) for the five trading days immediately preceding the date of issuance, or (B) the closing price of the Class A Common Stock as quoted on the Principal Market on the trading day prior to the date of issuance.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Optional Conversion. At any time and from time to time, a holder of the shares of Series AAA Preferred Stock may, at its option, convert (i) up to thirty three and one-third percent (33.3%) of the holder’s total shares of Series AAA Preferred Stock (the “First Tranche Convertible Shares”) at a rate equal to the stated value divided by $2.50 (the “First Tranche Conversion Rate”), (ii) up to thirty three and one-third percent (33.3%) of the holder’s total shares of Series AAA Preferred Stock (the “Second Tranche Convertible Shares”) at a rate equal to the stated value divided by $3.50 (the “Second Tranche Conversion Rate”), and (iii) up to thirty three and one-third percent (33.3%) of the holder’s total shares of Series AAA Preferred Stock (the “Third Tranche Convertible Shares”) at a rate equal to the stated value divided by $4.50 (the “Third Tranche Conversion Rate”).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Voting Rights. Except as provided in the Series AAA COD or under Delaware law, the holders of shares of the Series AAA Preferred Stock do not have voting rights.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Liquidation. In the event of any voluntary or involuntary liquidation, dissolution or winding up of the Company, the holders of shares of the Series AAA Preferred Stock then outstanding will be entitled to receive in cash out of the assets of the Company, whether from capital or from earnings available for distribution to its stockholders, before any amount will be paid to the holders of any of the capital stock of the Company of any class junior in rank to the Series AAA Preferred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Ranking. The Series AAA Preferred Stock ranks senior to the Company’s Series B Convertible Preferred Stock, Class A Common Stock and Class B common stock and pari passu with the Company’s Series A Convertible Preferred Stock and Series AA Cumulative Redeemable Preferred Stock, with respect to the preferences provided for in the Certificate of Designation as to distributions and payments upon the liquidation, dissolution and winding up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Redemption. The Company has the right to redeem the outstanding shares of the Series AAA Preferred Stock at an amount equal to the Liquidation Preference, provided that the holders of Series AAA Preferred Stock are granted thirty (30) calendar days to first exercise their conversion rights. “Liquidation Preference” means, with respect to each outstanding share of Series AAA Preferred Stock, the sum of: (i) the amount of all accrued but unpaid dividends on such share; plus (ii) the stated value.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Amendments. The Certificate of Designation may be amended by obtaining the affirmative vote of a majority of the outstanding shares of Series AAA Preferred Stock, voting separately as a single class.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Listing. The Series AAA Convertible Preferred Stock will not be listed on the Nasdaq Capital Market or any other exchange or trading market. The Company does not plan on making an application to list the Series AAA Convertible Preferred Stock on the Nasdaq Capital Market, any other national securities exchange or any other nationally recognized trading system. The Class A Common Stock issuable upon conversion of the Series AAA Convertible Preferred Stock is listed on the Nasdaq Capital Market under the symbol “CWD.”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and Bylaws and Class B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our stockholders holding a majority of the outstanding shares of common stock outstanding will be able to elect all of our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control vested in our founders by virtue of their holding of Class B common stock may discourage or impede takeover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76"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Exclusive forum for adjudication of disputes provision which limits the forum to the Delaware Court of Chancery for certain stockholder litigation matters actions against the Company, which may limit an investor’s ability to obtain a favorable judicial forum for disputes with the Company or its directors, officers, employees or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Section 7.06(a) of Article VII of our Bylaws dictates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behalf of the Company; an action asserting a breach of fiduciary duty owed by an officer, director, employee or to the stockholders of the Company; any claim arising under Delaware corporate law, our amended and restated certificate of incorporation or our amended and restated bylaws; and any action asserting a claim governed by the internal affairs doctrine. Any person or entity purchasing or otherwise acquiring any interest in shares of capital stock of the Company shall be deemed to have notice of and consented to the provisions of Section 7.06 of Article VII of our Bylaws.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Section 7.06(a) of Article VII of our Bylaws will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unless the Company consents in writing to the selection of an alternative forum, the federal district courts of the United States of America will be the exclusive forum for the resolution of any complaint asserting a cause of action arising under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stockholder class actions, derivative suits and other intra-corporate disputes. With respect to such state law claims, the Company’s management believes limiting state law 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choice of forum provisions contained in the Company’s Bylaws may limit a stockholder’s ability to bring a claim in a judicial forum that it finds favorable for disputes with the Company or any of its directors, officers, other employees or stockholders,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the Company, a court could find the choice of forum provisions contained in the Company’s Bylaws to be inapplicable or unenforceable in such action. As a result, the Company could incur additional costs associated with resolving such actions in other jurisdictions, which could harm the Company’s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ClearTrust LLC, telephone 813-235-4490, is the transfer agent for our Class A common stock. ClearTrust LLC is the transfer agent for the Series AA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under the symbol “CWD”.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Class A common stock or interests in shares of Class A common stock received after the date of this prospectus from the Selling Stockholders as a gift, pledge, partnership distribution or other transfer, may, from time to time, sell, transfer or otherwise dispose of any or all of their shares of Class A common stock or interests in shares of Class A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forward sales or other hedging transactions, whether through an options exchange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Class A common stock owned by it and, if it defaults in the performance of its secured obligations, the pledgees or secured parties may offer and sell the shares of Class A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Class A common stock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Class A common stock or interests therein, the Selling Stockholders may enter into hedging transactions with broker-dealers or other financial institutions, which may in turn engage in short sales of the Class A common stock in the course of hedging the positions they assume. The Selling Stockholders may also sell shares of our Class A common stock short and deliver these securities to close out their short positions, or loan or pledge the Class A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Class A common stock offered by them will be the purchase price of the Class A common stock less discounts or commissions, if any. The Selling Stockholders reserves the right to accept and, together with their agents from time to time, to reject, in whole or in part, any proposed purchase of Class A common stock to be made directly or through agents. We will not receive any of the proceeds from this offering. However, we will benefit from the extinguishment of the notes which are cancelled in connection with note conversions.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Class A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Class A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Class A common stock may be sold in these jurisdictions only through registered or licensed brokers or dealers. In addition, in some states the Class A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its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without restriction pursuant to Rule 144 of the Securities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Class A common stock offered hereby will be passed upon for us by Manatt, Phelps &amp; Phillips, LLP, Costa Mesa, California.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CaliberCos Inc. incorporated by reference in this Prospectus, have been audited by Urish Popeck &amp; Co., LLC, an independent registered public accounting firm, as stated in their report. Such financial statements are incorporated by reference in reliance upon the report of such firm given their authority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http://www.sec.gov.</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 filings, including the registration statement on Form S-3 and the exhibits filed with the registration statement, are also available from the SEC’s website at www.sec.gov, which contains reports, proxy and information statements and other information regarding issuers that file electronically with the SEC. Additionally, we will make these filings available, free of charge, on our website at www.caliberco.com as soon as reasonably practicable after we electronically file such materials with, or furnish them to, the SEC. The information on our website, other than these filings, is not, and should not be, considered part of this prospectus and is not incorporated by reference into this document.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8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on </w:t>
      </w:r>
      <w:hyperlink r:id="rId4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as filed with the Commission on March 26, 2026;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w:t>
      </w:r>
      <w:hyperlink r:id="rId45">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31, 2026 (except for the information furnished under Items 2.02 or 7.01 and the exhibits thereto).</w:t>
      </w:r>
    </w:p>
    <w:p>
      <w:pPr>
        <w:spacing w:after="0" w:line="162" w:lineRule="exact"/>
        <w:rPr>
          <w:rFonts w:ascii="Times New Roman" w:cs="Times New Roman" w:eastAsia="Times New Roman" w:hAnsi="Times New Roman"/>
          <w:sz w:val="18"/>
          <w:szCs w:val="18"/>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any information furnished pursuant to Items 2.02 or 7.01 of Form 8-K or related exhibits furnished pursuant to Item 9.01 of Form 8-K. Any statement contained in a document incorporated or deemed to be incorporated by reference herein shall be deemed to be modified or superseded for purposes of the registration statement of which this prospectus forms a part to the extent that a statement contained in any subsequently filed document, which also is deemed to be incorporated by reference herein, modifies or supersedes such statement.</w:t>
      </w:r>
    </w:p>
    <w:p>
      <w:pPr>
        <w:spacing w:after="0" w:line="189" w:lineRule="exact"/>
        <w:rPr>
          <w:rFonts w:ascii="Times New Roman" w:cs="Times New Roman" w:eastAsia="Times New Roman" w:hAnsi="Times New Roman"/>
          <w:sz w:val="18"/>
          <w:szCs w:val="18"/>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any or all of the documents incorporated herein by reference. These documents will be provided to you at no cost, by calling us at (480) 295-7600 or by contacting: 8901 E. Mountain View Rd. Ste. 150, Scottsdale AZ 85258, Attn: Corporate Secretary. In addition, copies of any or all of the documents incorporated herein by reference may be accessed at our website at </w:t>
      </w:r>
      <w:r>
        <w:rPr>
          <w:rFonts w:ascii="Times New Roman" w:cs="Times New Roman" w:eastAsia="Times New Roman" w:hAnsi="Times New Roman"/>
          <w:sz w:val="18"/>
          <w:szCs w:val="18"/>
          <w:i w:val="1"/>
          <w:iCs w:val="1"/>
          <w:color w:val="auto"/>
        </w:rPr>
        <w:t>www.caliberco.com</w:t>
      </w:r>
      <w:r>
        <w:rPr>
          <w:rFonts w:ascii="Times New Roman" w:cs="Times New Roman" w:eastAsia="Times New Roman" w:hAnsi="Times New Roman"/>
          <w:sz w:val="18"/>
          <w:szCs w:val="18"/>
          <w:color w:val="auto"/>
        </w:rPr>
        <w:t>. The information contained on, or that can be accessed through, our website is not a part of this prospectus, and our reference to the address for our website is intended to be an inactive textual reference only.</w:t>
      </w:r>
    </w:p>
    <w:p>
      <w:pPr>
        <w:spacing w:after="0" w:line="3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CALIBERCOS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2,162,791 Shares of Class A Common Stock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1116965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lvl w:ilvl="1">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19"/>
    </w:lvl>
  </w:abstractNum>
  <w:abstractNum w:abstractNumId="9">
    <w:nsid w:val="109CF92E"/>
    <w:multiLevelType w:val="hybridMultilevel"/>
    <w:lvl w:ilvl="0">
      <w:lvlJc w:val="left"/>
      <w:lvlText w:val="%1"/>
      <w:numFmt w:val="upperLetter"/>
      <w:start w:val="5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upperLetter"/>
      <w:start w:val="27"/>
    </w:lvl>
    <w:lvl w:ilvl="1">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4" Type="http://schemas.openxmlformats.org/officeDocument/2006/relationships/hyperlink" Target="http://www.sec.gov/ix?doc=/Archives/edgar/data/1627282/000162728226000015/cwd-20251231.htm" TargetMode="External"/><Relationship Id="rId45" Type="http://schemas.openxmlformats.org/officeDocument/2006/relationships/hyperlink" Target="https://www.sec.gov/ix?doc=/Archives/edgar/data/1627282/000162728226000017/cwd-202603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2026-04-28T05:13:14Z</dcterms:created>
  <dcterms:modified xsi:type="dcterms:W3CDTF">2026-04-28T05:13:14Z</dcterms:modified>
</cp:coreProperties>
</file>