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May 14, 2026</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u w:val="single" w:color="auto"/>
          <w:color w:val="auto"/>
        </w:rPr>
        <w:t>CALIBERCOS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16"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001-41703</w:t>
            </w: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0"/>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7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67"/>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37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70"/>
        </w:trPr>
        <w:tc>
          <w:tcPr>
            <w:tcW w:w="52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4"/>
          <w:szCs w:val="24"/>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800" w:hanging="450"/>
        <w:spacing w:after="0"/>
        <w:tabs>
          <w:tab w:leader="none" w:pos="8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4"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CaliberCos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2026 annual meeting of stockholders on May 14, 2026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For more information about the proposals set forth below, please see the Company’s definitive Proxy Statement filed with the Securities and Exchange Commission on March 31, 2026.</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the March 20, 2026 record date for determination of stockholders entitled to notice of, and to vote at, the Annual Meeting, 6,682,240 shares of Class A common stock, par value $0.001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and 370,822 shares of Class B common stock, par value $0.001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with the Class A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were issued and outstanding shares and entitled to vote. Each share of Class A Common Stock was entitled to one (1) vote per share and each share of Class B Common Stock was entitled to ten (10) votes per share, voting together as a single class. A total of 7,053,062 shares of Common Stock representing 10,390,460 votes, were entitled to vote at the Annual Meeting. Present, in person or by proxy, at the Annual Meeting, were 2,653,353 shares of Common Stock, representing 5,990,751 votes, or 57.656%, constituting a quorum pursuant to the Company’s Amended and Restated Bylaws, as amended.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final votes on the proposals presented to stockholders for approval at the Annual Meeting.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five directors to serve for a term ending as of the Company’s annual meeting in 2027.</w:t>
      </w:r>
    </w:p>
    <w:p>
      <w:pPr>
        <w:spacing w:after="0" w:line="281" w:lineRule="exact"/>
        <w:rPr>
          <w:sz w:val="20"/>
          <w:szCs w:val="20"/>
          <w:color w:val="auto"/>
        </w:rPr>
      </w:pPr>
    </w:p>
    <w:tbl>
      <w:tblPr>
        <w:tblLayout w:type="fixed"/>
        <w:tblInd w:w="730" w:type="dxa"/>
        <w:tblCellMar>
          <w:top w:w="0" w:type="dxa"/>
          <w:left w:w="0" w:type="dxa"/>
          <w:bottom w:w="0" w:type="dxa"/>
          <w:right w:w="0" w:type="dxa"/>
        </w:tblCellMar>
      </w:tblPr>
      <w:tr>
        <w:trPr>
          <w:trHeight w:val="264"/>
        </w:trPr>
        <w:tc>
          <w:tcPr>
            <w:tcW w:w="276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4,344,746</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28,874</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1,617,131</w:t>
            </w:r>
          </w:p>
        </w:tc>
      </w:tr>
      <w:tr>
        <w:trPr>
          <w:trHeight w:val="22"/>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4,351,161</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22,459</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1,617,131</w:t>
            </w:r>
          </w:p>
        </w:tc>
      </w:tr>
      <w:tr>
        <w:trPr>
          <w:trHeight w:val="22"/>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4,336,718</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36,901</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1,617,132</w:t>
            </w:r>
          </w:p>
        </w:tc>
      </w:tr>
      <w:tr>
        <w:trPr>
          <w:trHeight w:val="22"/>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Lawrence X. Taylor III</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4,343,396</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30,224</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1,617,131</w:t>
            </w:r>
          </w:p>
        </w:tc>
      </w:tr>
      <w:tr>
        <w:trPr>
          <w:trHeight w:val="22"/>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Jerome Alan Reid, Jr.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4,344,219</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29,401</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1,617,131</w:t>
            </w:r>
          </w:p>
        </w:tc>
      </w:tr>
      <w:tr>
        <w:trPr>
          <w:trHeight w:val="22"/>
        </w:trPr>
        <w:tc>
          <w:tcPr>
            <w:tcW w:w="2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Ratification of the appointment of Urish Popeck &amp; Co., LLC as the independent registered public accounting firm of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2026.</w:t>
      </w:r>
    </w:p>
    <w:p>
      <w:pPr>
        <w:spacing w:after="0" w:line="223" w:lineRule="exact"/>
        <w:rPr>
          <w:sz w:val="20"/>
          <w:szCs w:val="20"/>
          <w:color w:val="auto"/>
        </w:rPr>
      </w:pPr>
    </w:p>
    <w:tbl>
      <w:tblPr>
        <w:tblLayout w:type="fixed"/>
        <w:tblInd w:w="930" w:type="dxa"/>
        <w:tblCellMar>
          <w:top w:w="0" w:type="dxa"/>
          <w:left w:w="0" w:type="dxa"/>
          <w:bottom w:w="0" w:type="dxa"/>
          <w:right w:w="0" w:type="dxa"/>
        </w:tblCellMar>
      </w:tblPr>
      <w:tr>
        <w:trPr>
          <w:trHeight w:val="263"/>
        </w:trPr>
        <w:tc>
          <w:tcPr>
            <w:tcW w:w="1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 w:type="dxa"/>
            <w:vAlign w:val="bottom"/>
            <w:tcBorders>
              <w:top w:val="single" w:sz="8" w:color="auto"/>
              <w:bottom w:val="single" w:sz="8" w:color="auto"/>
              <w:right w:val="single" w:sz="8" w:color="auto"/>
            </w:tcBorders>
          </w:tcPr>
          <w:p>
            <w:pPr>
              <w:spacing w:after="0"/>
              <w:rPr>
                <w:sz w:val="22"/>
                <w:szCs w:val="22"/>
                <w:color w:val="auto"/>
              </w:rPr>
            </w:pP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0" w:type="dxa"/>
            <w:vAlign w:val="bottom"/>
            <w:tcBorders>
              <w:top w:val="single" w:sz="8" w:color="auto"/>
              <w:bottom w:val="single" w:sz="8" w:color="auto"/>
              <w:right w:val="single" w:sz="8" w:color="auto"/>
            </w:tcBorders>
          </w:tcPr>
          <w:p>
            <w:pPr>
              <w:spacing w:after="0"/>
              <w:rPr>
                <w:sz w:val="22"/>
                <w:szCs w:val="22"/>
                <w:color w:val="auto"/>
              </w:rPr>
            </w:pP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0" w:type="dxa"/>
            <w:vAlign w:val="bottom"/>
            <w:tcBorders>
              <w:top w:val="single" w:sz="8" w:color="auto"/>
              <w:bottom w:val="single" w:sz="8" w:color="auto"/>
              <w:right w:val="single" w:sz="8" w:color="auto"/>
            </w:tcBorders>
          </w:tcPr>
          <w:p>
            <w:pPr>
              <w:spacing w:after="0"/>
              <w:rPr>
                <w:sz w:val="22"/>
                <w:szCs w:val="22"/>
                <w:color w:val="auto"/>
              </w:rPr>
            </w:pP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4"/>
        </w:trPr>
        <w:tc>
          <w:tcPr>
            <w:tcW w:w="1880" w:type="dxa"/>
            <w:vAlign w:val="bottom"/>
            <w:tcBorders>
              <w:left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5,864,763</w:t>
            </w:r>
          </w:p>
        </w:tc>
        <w:tc>
          <w:tcPr>
            <w:tcW w:w="1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66,964</w:t>
            </w:r>
          </w:p>
        </w:tc>
        <w:tc>
          <w:tcPr>
            <w:tcW w:w="16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59,024</w:t>
            </w:r>
          </w:p>
        </w:tc>
        <w:tc>
          <w:tcPr>
            <w:tcW w:w="160" w:type="dxa"/>
            <w:vAlign w:val="bottom"/>
            <w:tcBorders>
              <w:right w:val="single" w:sz="8" w:color="auto"/>
            </w:tcBorders>
          </w:tcPr>
          <w:p>
            <w:pPr>
              <w:spacing w:after="0"/>
              <w:rPr>
                <w:sz w:val="20"/>
                <w:szCs w:val="20"/>
                <w:color w:val="auto"/>
              </w:rPr>
            </w:pP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1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3320" w:type="dxa"/>
            <w:vAlign w:val="bottom"/>
            <w:tcBorders>
              <w:bottom w:val="single" w:sz="8" w:color="auto"/>
              <w:right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45"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331"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9"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Name:</w:t>
        <w:tab/>
        <w:t>John C. Loeffler, II</w:t>
      </w:r>
    </w:p>
    <w:p>
      <w:pPr>
        <w:spacing w:after="0" w:line="63" w:lineRule="exact"/>
        <w:rPr>
          <w:sz w:val="20"/>
          <w:szCs w:val="20"/>
          <w:color w:val="auto"/>
        </w:rPr>
      </w:pPr>
    </w:p>
    <w:p>
      <w:pPr>
        <w:ind w:left="526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2026-05-15T15:14:45Z</dcterms:created>
  <dcterms:modified xsi:type="dcterms:W3CDTF">2026-05-15T15:14:45Z</dcterms:modified>
</cp:coreProperties>
</file>