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563245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May 13, 2026</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CALIBERCOS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16" w:lineRule="exact"/>
        <w:rPr>
          <w:sz w:val="24"/>
          <w:szCs w:val="24"/>
          <w:color w:val="auto"/>
        </w:rPr>
      </w:pPr>
    </w:p>
    <w:tbl>
      <w:tblPr>
        <w:tblLayout w:type="fixed"/>
        <w:tblInd w:w="1460" w:type="dxa"/>
        <w:tblCellMar>
          <w:top w:w="0" w:type="dxa"/>
          <w:left w:w="0" w:type="dxa"/>
          <w:bottom w:w="0" w:type="dxa"/>
          <w:right w:w="0" w:type="dxa"/>
        </w:tblCellMar>
      </w:tblPr>
      <w:tr>
        <w:trPr>
          <w:trHeight w:val="148"/>
        </w:trPr>
        <w:tc>
          <w:tcPr>
            <w:tcW w:w="2880" w:type="dxa"/>
            <w:vAlign w:val="bottom"/>
          </w:tcPr>
          <w:p>
            <w:pPr>
              <w:spacing w:after="0"/>
              <w:rPr>
                <w:sz w:val="12"/>
                <w:szCs w:val="12"/>
                <w:color w:val="auto"/>
              </w:rPr>
            </w:pPr>
          </w:p>
        </w:tc>
        <w:tc>
          <w:tcPr>
            <w:tcW w:w="4980" w:type="dxa"/>
            <w:vAlign w:val="bottom"/>
          </w:tcPr>
          <w:p>
            <w:pPr>
              <w:jc w:val="center"/>
              <w:ind w:right="2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r>
      <w:tr>
        <w:trPr>
          <w:trHeight w:val="155"/>
        </w:trPr>
        <w:tc>
          <w:tcPr>
            <w:tcW w:w="2880" w:type="dxa"/>
            <w:vAlign w:val="bottom"/>
          </w:tcPr>
          <w:p>
            <w:pPr>
              <w:spacing w:after="0"/>
              <w:rPr>
                <w:sz w:val="13"/>
                <w:szCs w:val="13"/>
                <w:color w:val="auto"/>
              </w:rPr>
            </w:pPr>
          </w:p>
        </w:tc>
        <w:tc>
          <w:tcPr>
            <w:tcW w:w="4980" w:type="dxa"/>
            <w:vAlign w:val="bottom"/>
          </w:tcPr>
          <w:p>
            <w:pPr>
              <w:jc w:val="center"/>
              <w:ind w:right="232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r>
      <w:tr>
        <w:trPr>
          <w:trHeight w:val="297"/>
        </w:trPr>
        <w:tc>
          <w:tcPr>
            <w:tcW w:w="288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001-41703</w:t>
            </w:r>
          </w:p>
        </w:tc>
        <w:tc>
          <w:tcPr>
            <w:tcW w:w="498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47-2426901</w:t>
            </w:r>
          </w:p>
        </w:tc>
      </w:tr>
      <w:tr>
        <w:trPr>
          <w:trHeight w:val="180"/>
        </w:trPr>
        <w:tc>
          <w:tcPr>
            <w:tcW w:w="288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4980" w:type="dxa"/>
            <w:vAlign w:val="bottom"/>
          </w:tcPr>
          <w:p>
            <w:pPr>
              <w:jc w:val="center"/>
              <w:ind w:left="32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78"/>
        </w:trPr>
        <w:tc>
          <w:tcPr>
            <w:tcW w:w="288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8901 E. Mountain View Rd. Ste. 150, Scottsdale, AZ</w:t>
            </w:r>
          </w:p>
        </w:tc>
        <w:tc>
          <w:tcPr>
            <w:tcW w:w="498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85258</w:t>
            </w:r>
          </w:p>
        </w:tc>
      </w:tr>
      <w:tr>
        <w:trPr>
          <w:trHeight w:val="180"/>
        </w:trPr>
        <w:tc>
          <w:tcPr>
            <w:tcW w:w="288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4980" w:type="dxa"/>
            <w:vAlign w:val="bottom"/>
          </w:tcPr>
          <w:p>
            <w:pPr>
              <w:jc w:val="center"/>
              <w:ind w:left="3260"/>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(480) 295-7600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1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16" w:lineRule="exact"/>
        <w:rPr>
          <w:sz w:val="24"/>
          <w:szCs w:val="24"/>
          <w:color w:val="auto"/>
        </w:rPr>
      </w:pPr>
    </w:p>
    <w:p>
      <w:pPr>
        <w:ind w:left="680" w:hanging="460"/>
        <w:spacing w:after="0"/>
        <w:tabs>
          <w:tab w:leader="none" w:pos="6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Wingdings" w:cs="Wingdings" w:eastAsia="Wingdings" w:hAnsi="Wingdings"/>
          <w:sz w:val="12"/>
          <w:szCs w:val="12"/>
          <w:b w:val="1"/>
          <w:bCs w:val="1"/>
          <w:color w:val="auto"/>
        </w:rPr>
      </w:pPr>
    </w:p>
    <w:p>
      <w:pPr>
        <w:ind w:left="680" w:hanging="460"/>
        <w:spacing w:after="0"/>
        <w:tabs>
          <w:tab w:leader="none" w:pos="6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Wingdings" w:cs="Wingdings" w:eastAsia="Wingdings" w:hAnsi="Wingdings"/>
          <w:sz w:val="12"/>
          <w:szCs w:val="12"/>
          <w:b w:val="1"/>
          <w:bCs w:val="1"/>
          <w:color w:val="auto"/>
        </w:rPr>
      </w:pPr>
    </w:p>
    <w:p>
      <w:pPr>
        <w:ind w:left="680" w:hanging="460"/>
        <w:spacing w:after="0"/>
        <w:tabs>
          <w:tab w:leader="none" w:pos="6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Wingdings" w:cs="Wingdings" w:eastAsia="Wingdings" w:hAnsi="Wingdings"/>
          <w:sz w:val="12"/>
          <w:szCs w:val="12"/>
          <w:b w:val="1"/>
          <w:bCs w:val="1"/>
          <w:color w:val="auto"/>
        </w:rPr>
      </w:pPr>
    </w:p>
    <w:p>
      <w:pPr>
        <w:ind w:left="680" w:hanging="460"/>
        <w:spacing w:after="0"/>
        <w:tabs>
          <w:tab w:leader="none" w:pos="6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426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9"/>
        </w:trPr>
        <w:tc>
          <w:tcPr>
            <w:tcW w:w="4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Class A Common Stock, par value $0.001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CWD</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4" w:lineRule="exact"/>
        <w:rPr>
          <w:sz w:val="24"/>
          <w:szCs w:val="24"/>
          <w:color w:val="auto"/>
        </w:rPr>
      </w:pPr>
    </w:p>
    <w:p>
      <w:pPr>
        <w:jc w:val="both"/>
        <w:ind w:left="9820" w:hanging="9836"/>
        <w:spacing w:after="0" w:line="375"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Wingdings" w:cs="Wingdings" w:eastAsia="Wingdings" w:hAnsi="Wingdings"/>
          <w:sz w:val="12"/>
          <w:szCs w:val="12"/>
          <w:b w:val="1"/>
          <w:bCs w:val="1"/>
          <w:color w:val="auto"/>
        </w:rPr>
        <w:t>x</w:t>
      </w:r>
    </w:p>
    <w:p>
      <w:pPr>
        <w:spacing w:after="0" w:line="1"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493395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71755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53"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13, 2026, CaliberCos Inc. (the “Company”) issued a press release and earnings supplemental reporting first quarter financial results. The Company also released supplemental financial results for its asset management “Platform” business. A copy of the press release, earnings supplemental, and Platform supplemental financial results are attached hereto as Exhibit 99.1, Exhibit 99.2, and Exhibit 99.3 and the information therein is incorporated herein by reference.</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The information contained in this Item 2.02 and in the accompanying Exhibit 99.1, Exhibit 99.2, Exhibit 99.3 shall not be deemed filed for purposes of Section 18 of the Securities Exchange Act of 1934, as amended (the “Exchange Act”), or incorporated by reference in any filing under the Exchange Act or the Securities Act of 1933, as amended (the “Securities Act”), except as shall be expressly set forth by specific reference in such filing.</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under Item 2.02, above, is incorporated herein by reference.</w:t>
      </w:r>
    </w:p>
    <w:p>
      <w:pPr>
        <w:spacing w:after="0" w:line="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i w:val="1"/>
          <w:iCs w:val="1"/>
          <w:color w:val="auto"/>
        </w:rPr>
        <w:t>The information reported under Items 2.02 and 7.01 in this Current Report on Form 8-K, including Exhibit 99.1 and Exhibit 99.2 attached hereto,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r>
      <w:tr>
        <w:trPr>
          <w:trHeight w:val="309"/>
        </w:trPr>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168"/>
        </w:trPr>
        <w:tc>
          <w:tcPr>
            <w:tcW w:w="460" w:type="dxa"/>
            <w:vAlign w:val="bottom"/>
          </w:tcPr>
          <w:p>
            <w:pPr>
              <w:spacing w:after="0"/>
              <w:rPr>
                <w:sz w:val="14"/>
                <w:szCs w:val="14"/>
                <w:color w:val="auto"/>
              </w:rPr>
            </w:pPr>
          </w:p>
        </w:tc>
        <w:tc>
          <w:tcPr>
            <w:tcW w:w="740" w:type="dxa"/>
            <w:vAlign w:val="bottom"/>
            <w:gridSpan w:val="3"/>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0"/>
              </w:rPr>
              <w:t>No.</w:t>
            </w:r>
          </w:p>
        </w:tc>
        <w:tc>
          <w:tcPr>
            <w:tcW w:w="20" w:type="dxa"/>
            <w:vAlign w:val="bottom"/>
          </w:tcPr>
          <w:p>
            <w:pPr>
              <w:spacing w:after="0"/>
              <w:rPr>
                <w:sz w:val="14"/>
                <w:szCs w:val="14"/>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r>
      <w:tr>
        <w:trPr>
          <w:trHeight w:val="133"/>
        </w:trPr>
        <w:tc>
          <w:tcPr>
            <w:tcW w:w="660" w:type="dxa"/>
            <w:vAlign w:val="bottom"/>
            <w:tcBorders>
              <w:top w:val="single" w:sz="8" w:color="auto"/>
            </w:tcBorders>
            <w:gridSpan w:val="2"/>
          </w:tcPr>
          <w:p>
            <w:pPr>
              <w:jc w:val="center"/>
              <w:ind w:left="400"/>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80" w:type="dxa"/>
            <w:vAlign w:val="bottom"/>
            <w:tcBorders>
              <w:top w:val="single" w:sz="8" w:color="auto"/>
            </w:tcBorders>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Press release dated May 13, 2026 relating to first quarter financial results and related matters</w:t>
            </w:r>
          </w:p>
        </w:tc>
      </w:tr>
      <w:tr>
        <w:trPr>
          <w:trHeight w:val="20"/>
        </w:trPr>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60"/>
        </w:trPr>
        <w:tc>
          <w:tcPr>
            <w:tcW w:w="660" w:type="dxa"/>
            <w:vAlign w:val="bottom"/>
            <w:gridSpan w:val="2"/>
          </w:tcPr>
          <w:p>
            <w:pPr>
              <w:jc w:val="center"/>
              <w:ind w:left="400"/>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Earnings supplemental related to the first quarter financial results and related matters</w:t>
            </w:r>
          </w:p>
        </w:tc>
      </w:tr>
      <w:tr>
        <w:trPr>
          <w:trHeight w:val="20"/>
        </w:trPr>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60"/>
        </w:trPr>
        <w:tc>
          <w:tcPr>
            <w:tcW w:w="660" w:type="dxa"/>
            <w:vAlign w:val="bottom"/>
            <w:gridSpan w:val="2"/>
          </w:tcPr>
          <w:p>
            <w:pPr>
              <w:jc w:val="center"/>
              <w:ind w:left="400"/>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3</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Platform supplemental financial results with first quarter financial results</w:t>
            </w:r>
          </w:p>
        </w:tc>
      </w:tr>
      <w:tr>
        <w:trPr>
          <w:trHeight w:val="20"/>
        </w:trPr>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93"/>
        </w:trPr>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80" w:type="dxa"/>
            <w:vAlign w:val="bottom"/>
            <w:gridSpan w:val="2"/>
          </w:tcPr>
          <w:p>
            <w:pPr>
              <w:ind w:left="5280"/>
              <w:spacing w:after="0"/>
              <w:rPr>
                <w:sz w:val="20"/>
                <w:szCs w:val="20"/>
                <w:color w:val="auto"/>
              </w:rPr>
            </w:pPr>
            <w:r>
              <w:rPr>
                <w:rFonts w:ascii="Times New Roman" w:cs="Times New Roman" w:eastAsia="Times New Roman" w:hAnsi="Times New Roman"/>
                <w:sz w:val="12"/>
                <w:szCs w:val="12"/>
                <w:b w:val="1"/>
                <w:bCs w:val="1"/>
                <w:color w:val="auto"/>
              </w:rPr>
              <w:t>CaliberCos Inc.</w:t>
            </w:r>
          </w:p>
        </w:tc>
      </w:tr>
      <w:tr>
        <w:trPr>
          <w:trHeight w:val="360"/>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May 13, 2026</w:t>
            </w:r>
          </w:p>
        </w:tc>
        <w:tc>
          <w:tcPr>
            <w:tcW w:w="5280" w:type="dxa"/>
            <w:vAlign w:val="bottom"/>
          </w:tcPr>
          <w:p>
            <w:pPr>
              <w:spacing w:after="0"/>
              <w:rPr>
                <w:sz w:val="24"/>
                <w:szCs w:val="24"/>
                <w:color w:val="auto"/>
              </w:rPr>
            </w:pPr>
          </w:p>
        </w:tc>
      </w:tr>
      <w:tr>
        <w:trPr>
          <w:trHeight w:val="369"/>
        </w:trPr>
        <w:tc>
          <w:tcPr>
            <w:tcW w:w="6000" w:type="dxa"/>
            <w:vAlign w:val="bottom"/>
          </w:tcPr>
          <w:p>
            <w:pPr>
              <w:ind w:left="528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/s/ John C. Loeffler, II</w:t>
            </w:r>
          </w:p>
        </w:tc>
      </w:tr>
      <w:tr>
        <w:trPr>
          <w:trHeight w:val="160"/>
        </w:trPr>
        <w:tc>
          <w:tcPr>
            <w:tcW w:w="6000" w:type="dxa"/>
            <w:vAlign w:val="bottom"/>
          </w:tcPr>
          <w:p>
            <w:pPr>
              <w:ind w:left="5280"/>
              <w:spacing w:after="0"/>
              <w:rPr>
                <w:sz w:val="20"/>
                <w:szCs w:val="20"/>
                <w:color w:val="auto"/>
              </w:rPr>
            </w:pPr>
            <w:r>
              <w:rPr>
                <w:rFonts w:ascii="Times New Roman" w:cs="Times New Roman" w:eastAsia="Times New Roman" w:hAnsi="Times New Roman"/>
                <w:sz w:val="12"/>
                <w:szCs w:val="12"/>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John C. Loeffler, II</w:t>
            </w:r>
          </w:p>
        </w:tc>
      </w:tr>
      <w:tr>
        <w:trPr>
          <w:trHeight w:val="180"/>
        </w:trPr>
        <w:tc>
          <w:tcPr>
            <w:tcW w:w="6000" w:type="dxa"/>
            <w:vAlign w:val="bottom"/>
          </w:tcPr>
          <w:p>
            <w:pPr>
              <w:ind w:left="5280"/>
              <w:spacing w:after="0"/>
              <w:rPr>
                <w:sz w:val="20"/>
                <w:szCs w:val="20"/>
                <w:color w:val="auto"/>
              </w:rPr>
            </w:pPr>
            <w:r>
              <w:rPr>
                <w:rFonts w:ascii="Times New Roman" w:cs="Times New Roman" w:eastAsia="Times New Roman" w:hAnsi="Times New Roman"/>
                <w:sz w:val="12"/>
                <w:szCs w:val="1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Chairman and Chief Executive Officer</w:t>
            </w:r>
          </w:p>
        </w:tc>
      </w:tr>
    </w:tbl>
    <w:p>
      <w:pPr>
        <w:sectPr>
          <w:pgSz w:w="11900" w:h="16838" w:orient="portrait"/>
          <w:cols w:equalWidth="0" w:num="1">
            <w:col w:w="11280"/>
          </w:cols>
          <w:pgMar w:left="300" w:top="809"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161925</wp:posOffset>
            </wp:positionV>
            <wp:extent cx="2520315" cy="760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Caliber Reports </w:t>
      </w: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6"/>
          <w:szCs w:val="16"/>
          <w:b w:val="1"/>
          <w:bCs w:val="1"/>
          <w:color w:val="auto"/>
        </w:rPr>
        <w:t xml:space="preserve"> Quarter 2026 Financial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252525"/>
        </w:rPr>
        <w:t>First Quarter Platform Revenue and Adjusted EBITDA Loss In Line with Internal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252525"/>
        </w:rPr>
        <w:t>Caliber Reaffirms 2026 Full-Year Guidance</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SCOTTSDALE, AZ., </w:t>
      </w:r>
      <w:r>
        <w:rPr>
          <w:rFonts w:ascii="Times New Roman" w:cs="Times New Roman" w:eastAsia="Times New Roman" w:hAnsi="Times New Roman"/>
          <w:sz w:val="14"/>
          <w:szCs w:val="14"/>
          <w:color w:val="auto"/>
        </w:rPr>
        <w:t>May 13, 2026</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Caliber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52525"/>
        </w:rPr>
        <w:t>(Nasdaq: CWD), a diversified real estate and digital asset management platform,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today reported results for the first quarter ended on March 31,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4"/>
          <w:szCs w:val="14"/>
          <w:color w:val="252525"/>
        </w:rPr>
        <w:t>First quarter Platform revenue and Adjusted EBITDA loss were in line with management's internal expectations and reflect progress against the Company's previously announced 2026 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52525"/>
        </w:rPr>
        <w:t>with year-over-year Platform revenue growth, a narrower Platform Adjusted EBITDA loss, and tangible execution across both the Company's capital formation and project financing initiatives.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Quarter 2026 Platform Financial Results (compared to First Quarter 2025)</w:t>
      </w:r>
    </w:p>
    <w:p>
      <w:pPr>
        <w:spacing w:after="0" w:line="17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revenue of $4.1 million, compared to $3.5 million.</w:t>
      </w:r>
    </w:p>
    <w:p>
      <w:pPr>
        <w:spacing w:after="0" w:line="8"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management revenue of $4.1 million increased by $0.5 million, due to nonrecurring fee income.</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significant performance allocations were earned, compared to prior period.</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net loss of $4.3 million, or $0.62 per diluted share, compared to Platform net loss of $4.1 million</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or $3.59 per diluted share.</w:t>
      </w: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Adjusted EBITDA loss of $0.3 million, compared to Platform Adjusted EBITDA of $1.4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b w:val="1"/>
          <w:bCs w:val="1"/>
          <w:color w:val="333333"/>
        </w:rPr>
        <w:t>Quarter</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14"/>
          <w:szCs w:val="14"/>
          <w:b w:val="1"/>
          <w:bCs w:val="1"/>
          <w:color w:val="333333"/>
        </w:rPr>
        <w:t>Digital Asset Treasury Financial Highlights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Caliber’s digital asset treasury held 507,560 LINK tokens (LINK) with a fair value of $4.5 million.</w:t>
      </w:r>
    </w:p>
    <w:p>
      <w:pPr>
        <w:spacing w:after="0" w:line="163"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Caliber continues to advance the tokenization of two real estate projects, supporting the Company’s strategy to integrate blockchain infrastructure into its real estate fund offerings.</w:t>
      </w:r>
    </w:p>
    <w:p>
      <w:pPr>
        <w:spacing w:after="0" w:line="17" w:lineRule="exact"/>
        <w:rPr>
          <w:rFonts w:ascii="Times New Roman" w:cs="Times New Roman" w:eastAsia="Times New Roman" w:hAnsi="Times New Roman"/>
          <w:sz w:val="14"/>
          <w:szCs w:val="14"/>
          <w:color w:val="auto"/>
        </w:rPr>
      </w:pPr>
    </w:p>
    <w:p>
      <w:pPr>
        <w:ind w:left="420" w:hanging="212"/>
        <w:spacing w:after="0" w:line="258"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the Company sold 55,076 LINK for proceeds of $0.5 million, with proceeds redeployed into the Company's real estate platform to support the closing of project-level financings, including the Steamboat Hyatt Studios development.</w:t>
      </w:r>
    </w:p>
    <w:p>
      <w:pPr>
        <w:sectPr>
          <w:pgSz w:w="11900" w:h="16838" w:orient="portrait"/>
          <w:cols w:equalWidth="0" w:num="1">
            <w:col w:w="11300"/>
          </w:cols>
          <w:pgMar w:left="300" w:top="61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Management Commentary</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first quarter results were in line with the internal plan we built for 2026,” said Chris Loeffler, CEO of Caliber. “Platform revenue grew nearly 16% year over year, our Platform Adjusted EBITDA loss narrowed by $1.0 million, and we executed across both sides of the revenue plan we communicated at year-end — capital formation and project-level financings.”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capital formation, we have launched three of the four planned investor offerings supporting our Hyatt Studios development platform, advanced our PURE Pickleball &amp; Padel project to building permit approval, and are preparing to launch our Tonto 1031 exchange apartments offering. On project financing, we fully capitalized our first Hyatt Studios development in Steamboat Springs, CO, with construction expected to begin during the second quarter. Capitalizing Steamboat reflects our integrated approach to capital allocation across the platform, including the disciplined use of our LINK treasury to support real estate execution that drives our 2026 revenue plan.”</w:t>
      </w:r>
    </w:p>
    <w:p>
      <w:pPr>
        <w:spacing w:after="0" w:line="12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4"/>
          <w:szCs w:val="14"/>
          <w:color w:val="auto"/>
        </w:rPr>
        <w:t>“With our Platform Adjusted EBITDA loss of less than half a million dollars in the first quarter, we are operating close to break-even at the platform level. Our focus for the balance of 2026 is converting the project pipeline we have built into realized revenue, and we are reaffirming our full-year guidance today.”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2026 Outlook and Path to Profitability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Caliber today reaffirmed its previously issued 2026 financial guidance:</w:t>
      </w:r>
    </w:p>
    <w:p>
      <w:pPr>
        <w:spacing w:after="0" w:line="154"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Times New Roman" w:cs="Times New Roman" w:eastAsia="Times New Roman" w:hAnsi="Times New Roman"/>
          <w:sz w:val="14"/>
          <w:szCs w:val="14"/>
          <w:color w:val="auto"/>
        </w:rPr>
        <w:t>Total revenue in the range of $18.0 million to $22.0 million</w:t>
      </w:r>
    </w:p>
    <w:p>
      <w:pPr>
        <w:spacing w:after="0" w:line="16"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net operating income</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profitability</w:t>
      </w:r>
    </w:p>
    <w:p>
      <w:pPr>
        <w:spacing w:after="0" w:line="1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As previously disclosed, Caliber expects approximately 60% of its anticipated 2026 revenue growth to be driven by debt financing-related activities within its existing portfolio, with the remaining 40% driven by capital formation and asset management activities.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Consistent with the milestone-driven nature of the Company's revenue model, management continues to expect 2026 revenue to be weighted toward the back half of the year as additional project-level financings close and reach revenue-generating milestones.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Update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key milestones completed both during and after the first quarter ended March 31, 2026.</w:t>
      </w:r>
    </w:p>
    <w:p>
      <w:pPr>
        <w:spacing w:after="0" w:line="163" w:lineRule="exact"/>
        <w:rPr>
          <w:sz w:val="20"/>
          <w:szCs w:val="20"/>
          <w:color w:val="auto"/>
        </w:rPr>
      </w:pPr>
    </w:p>
    <w:p>
      <w:pPr>
        <w:jc w:val="both"/>
        <w:ind w:left="420" w:hanging="212"/>
        <w:spacing w:after="0" w:line="261" w:lineRule="auto"/>
        <w:tabs>
          <w:tab w:leader="none" w:pos="416" w:val="left"/>
        </w:tabs>
        <w:numPr>
          <w:ilvl w:val="0"/>
          <w:numId w:val="5"/>
        </w:numPr>
        <w:rPr>
          <w:rFonts w:ascii="Arial" w:cs="Arial" w:eastAsia="Arial" w:hAnsi="Arial"/>
          <w:sz w:val="14"/>
          <w:szCs w:val="14"/>
          <w:color w:val="auto"/>
        </w:rPr>
      </w:pPr>
      <w:r>
        <w:rPr>
          <w:rFonts w:ascii="Times New Roman" w:cs="Times New Roman" w:eastAsia="Times New Roman" w:hAnsi="Times New Roman"/>
          <w:sz w:val="14"/>
          <w:szCs w:val="14"/>
          <w:color w:val="auto"/>
        </w:rPr>
        <w:t>On February 27, 2026, Caliber announced the sale of the Holiday Inn Ocotillo in the Phoenix–Chandler submarket for $13.0 million. The asset was owned by Caliber Hospitality Trust, Inc. (CHT); Caliber’s private Umbrella Partnership C-Corporation (Up-C) vehicle focused on transformational and value enhancing opportunities in the hospitality space. Proceeds were utilized for debt reduction and growth initiatives.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983" w:right="299" w:bottom="1440" w:gutter="0" w:footer="0" w:header="0"/>
        </w:sectPr>
      </w:pPr>
    </w:p>
    <w:bookmarkStart w:id="5" w:name="page6"/>
    <w:bookmarkEnd w:id="5"/>
    <w:p>
      <w:pPr>
        <w:ind w:left="420" w:hanging="212"/>
        <w:spacing w:after="0" w:line="282" w:lineRule="auto"/>
        <w:tabs>
          <w:tab w:leader="none" w:pos="4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30, 2026, Caliber announced that an institutional investor elected to convert approximately $15.9 million of perpetual convertible preferred equity into 63,472 shares of the Company’s Class A common stock, simplifying the cap table.</w:t>
      </w:r>
    </w:p>
    <w:p>
      <w:pPr>
        <w:spacing w:after="0" w:line="116" w:lineRule="exact"/>
        <w:rPr>
          <w:rFonts w:ascii="Times New Roman" w:cs="Times New Roman" w:eastAsia="Times New Roman" w:hAnsi="Times New Roman"/>
          <w:sz w:val="14"/>
          <w:szCs w:val="14"/>
          <w:color w:val="auto"/>
        </w:rPr>
      </w:pPr>
    </w:p>
    <w:p>
      <w:pPr>
        <w:ind w:left="420" w:hanging="212"/>
        <w:spacing w:after="0" w:line="282" w:lineRule="auto"/>
        <w:tabs>
          <w:tab w:leader="none" w:pos="4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31, 2026, Caliber announced that J. Alan Reid, Jr. has been nominated to join its Board of Directors as an independent director and is expected to join after the stockholder meeting on May 14, 2026.</w:t>
      </w:r>
    </w:p>
    <w:p>
      <w:pPr>
        <w:spacing w:after="0" w:line="116" w:lineRule="exact"/>
        <w:rPr>
          <w:rFonts w:ascii="Times New Roman" w:cs="Times New Roman" w:eastAsia="Times New Roman" w:hAnsi="Times New Roman"/>
          <w:sz w:val="14"/>
          <w:szCs w:val="14"/>
          <w:color w:val="auto"/>
        </w:rPr>
      </w:pPr>
    </w:p>
    <w:p>
      <w:pPr>
        <w:jc w:val="both"/>
        <w:ind w:left="420" w:hanging="212"/>
        <w:spacing w:after="0" w:line="269" w:lineRule="auto"/>
        <w:tabs>
          <w:tab w:leader="none" w:pos="4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13, 2026, Caliber announced that PURE Pickleball &amp; Padel — its co-developed 196,000-square-foot indoor pickleball and padel facility adjacent to Scottsdale, Arizona at Riverwalk on the Salt River Pima-Maricopa Indian Community — has recently received all required building permits, clearing the final regulatory hurdle and positioning the project for groundbreaking.</w:t>
      </w:r>
    </w:p>
    <w:p>
      <w:pPr>
        <w:spacing w:after="0" w:line="296" w:lineRule="exact"/>
        <w:rPr>
          <w:rFonts w:ascii="Times New Roman" w:cs="Times New Roman" w:eastAsia="Times New Roman" w:hAnsi="Times New Roman"/>
          <w:sz w:val="14"/>
          <w:szCs w:val="14"/>
          <w:color w:val="auto"/>
        </w:rPr>
      </w:pPr>
    </w:p>
    <w:p>
      <w:pPr>
        <w:jc w:val="both"/>
        <w:ind w:left="420" w:hanging="212"/>
        <w:spacing w:after="0" w:line="268" w:lineRule="auto"/>
        <w:tabs>
          <w:tab w:leader="none" w:pos="4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14, 2026, Caliber announced continued progress in its corporate debt reduction strategy through the completion of the second round of Noteholder Conversion Program, which resulted in the repayment of approximately $1.9 million of unsecured corporate notes with shares of Caliber’s Class A common stock in a voluntary conversion program elected by the individual noteholders. In addition, approximately $1.5 million of notes were repaid with the issuance of Series AAA Convertible Preferred Stock.</w:t>
      </w:r>
    </w:p>
    <w:p>
      <w:pPr>
        <w:spacing w:after="0" w:line="117" w:lineRule="exact"/>
        <w:rPr>
          <w:rFonts w:ascii="Times New Roman" w:cs="Times New Roman" w:eastAsia="Times New Roman" w:hAnsi="Times New Roman"/>
          <w:sz w:val="14"/>
          <w:szCs w:val="14"/>
          <w:color w:val="auto"/>
        </w:rPr>
      </w:pPr>
    </w:p>
    <w:p>
      <w:pPr>
        <w:jc w:val="both"/>
        <w:ind w:left="420" w:hanging="212"/>
        <w:spacing w:after="0" w:line="262" w:lineRule="auto"/>
        <w:tabs>
          <w:tab w:leader="none" w:pos="4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22, 2026, Caliber announced that it continues to execute on its multi-market Hyatt Studios development platform, advancing three hospitality projects across high-conviction markets: Steamboat Springs, CO; Riverwalk/Scottsdale, AZ; and Georgetown, TX. The first project in Steamboat Springs closed acquisition and construction financing in April 2026 and is expected to break ground during the second quarter of 2026. The platform represents a focused effort to capitalize on supply-constrained markets and growing demand for extended-stay hospitality.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Quarter 2026 Consolidated Financial Results (compared to First Quarter 2025)</w:t>
      </w:r>
    </w:p>
    <w:p>
      <w:pPr>
        <w:spacing w:after="0" w:line="174" w:lineRule="exact"/>
        <w:rPr>
          <w:sz w:val="20"/>
          <w:szCs w:val="20"/>
          <w:color w:val="auto"/>
        </w:rPr>
      </w:pPr>
    </w:p>
    <w:p>
      <w:pPr>
        <w:ind w:left="420" w:hanging="212"/>
        <w:spacing w:after="0" w:line="253" w:lineRule="auto"/>
        <w:tabs>
          <w:tab w:leader="none" w:pos="4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consolidated revenue of $4.3 million, compared to $7.3 million reflecting the deconsolidation of DoubleTree by Hilton Tucson Convention Center in Q2 2025 and the consolidation of Commons Fundco LLC in Q1 2026, following the refinance of the assets.</w:t>
      </w: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loss attributable to Caliber of $3.6 million, or $0.52 per diluted share, compared to net loss attributable to Caliber of $4.4 million or $3.85 per diluted share.</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loss of $0.7 million, compared to Consolidated Adjusted EBITDA loss of $0.1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Caliber will host a conference call today, Wednesday, May 13, 2026, at 5:00 p.m. Eastern Time (ET) to discuss its first quarter 2026 financial results and business outlook.</w:t>
      </w:r>
    </w:p>
    <w:p>
      <w:pPr>
        <w:spacing w:after="0" w:line="1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To access this call, Investors and interested parties can access the live earnings call by dialing (800) 715-9871 (domestic) or (646) 307-1963 (international) and ask to join the Caliber call or use conference ID 5168652.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985" w:right="29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 live webcast of the conference call will be available via the investor relations section of Caliber’s website under “Financial Results.” The webcast replay of the conference call will be available on Caliber’s website shortly after the call concludes.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Platform Definition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Within this earnings release, we refer to performance results of the ‘Platform’. Platform refers to the performance of CWD itself, excluding the performance of certain assets &amp; funds that are included in our consolidated results, as required by the United States generally accepted accounting principles (“GAAP”). Management believes that Platform performance offers the most meaningful information needed to understand the value of CWD. The assets and funds that are consolidated into our GAAP presentation are included because Caliber is a guarantor of debt held by these assets and funds.</w:t>
      </w: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GAAP consolidation rules require CWD to include the performance and cash flows of these assets &amp; funds in our consolidated financial information, CWD does not benefit from the performance of those assets &amp; funds, except to the extent that CWD earns fees from managing the assets and funds (which are included in the Platform results). Management believes presenting Platform results, which exclude consolidated assets, directly shows the business performance that CWD stockholders benefit from.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Caliber (CaliberCos Inc.)</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Caliber (Nasdaq: CWD) is a real estate-focused alternative asset manager with over $2.6 billion in Managed Assets and a 17-year track record investing in middle-market hospitality and multifamily real estate. The Company operates an institutional-quality asset management platform paired with a boutique, hands-on investment approach focused on value creation in underserved market segments. In 2025, Caliber integrated digital asset infrastructure into its platform by investing in LINK, the token underlying Chainlink, a key technology enabling real estate fund tokenization, and is implementing blockchain and tokenization strategies across its investment platform to enhance how assets are financed, owned, and accessed. Investors can participate in Caliber through its publicly traded equity (Nasdaq: CWD), which provides exposure to both its real estate platform and digital asset holdings, and through its private real estate investment funds for accredited investors and financial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1147"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52525"/>
        </w:rPr>
        <w:t>CONTACTS</w:t>
      </w:r>
      <w:r>
        <w:rPr>
          <w:rFonts w:ascii="Times New Roman" w:cs="Times New Roman" w:eastAsia="Times New Roman" w:hAnsi="Times New Roman"/>
          <w:sz w:val="14"/>
          <w:szCs w:val="14"/>
          <w:color w:val="252525"/>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52525"/>
        </w:rPr>
        <w:t>Caliber Investor Relations: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Ilya Grozovsky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+1 480-214-1915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Ilya@CaliberCo.com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983"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NON-GAAP RECONCILIATIONS</w:t>
      </w:r>
    </w:p>
    <w:p>
      <w:pPr>
        <w:spacing w:after="0" w:line="1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The following information reconciles the performance of the Platform to the consolidated GAAP presentation. Management believes that the Platform view of Caliber’s performance is more meaningful to a CWD shareholder as it includes all revenues and expenses generated by Caliber and its wholly-owned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 MANAGEMENT PLATFORM</w:t>
      </w:r>
      <w:r>
        <w:rPr>
          <w:rFonts w:ascii="Times New Roman" w:cs="Times New Roman" w:eastAsia="Times New Roman" w:hAnsi="Times New Roman"/>
          <w:sz w:val="15"/>
          <w:szCs w:val="15"/>
          <w:b w:val="1"/>
          <w:bCs w:val="1"/>
          <w:color w:val="auto"/>
          <w:vertAlign w:val="superscript"/>
        </w:rPr>
        <w:t>(1)</w:t>
      </w:r>
    </w:p>
    <w:p>
      <w:pPr>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2026</w:t>
            </w: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440" w:type="dxa"/>
            <w:vAlign w:val="bottom"/>
          </w:tcPr>
          <w:p>
            <w:pPr>
              <w:spacing w:after="0"/>
              <w:rPr>
                <w:sz w:val="10"/>
                <w:szCs w:val="10"/>
                <w:color w:val="auto"/>
              </w:rPr>
            </w:pPr>
          </w:p>
        </w:tc>
        <w:tc>
          <w:tcPr>
            <w:tcW w:w="1320" w:type="dxa"/>
            <w:vAlign w:val="bottom"/>
            <w:vMerge w:val="restart"/>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Platform</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2"/>
                <w:szCs w:val="12"/>
                <w:b w:val="1"/>
                <w:bCs w:val="1"/>
                <w:color w:val="auto"/>
              </w:rPr>
              <w:t>Impact of Consolidated Funds and</w:t>
            </w:r>
          </w:p>
        </w:tc>
        <w:tc>
          <w:tcPr>
            <w:tcW w:w="320" w:type="dxa"/>
            <w:vAlign w:val="bottom"/>
          </w:tcPr>
          <w:p>
            <w:pPr>
              <w:spacing w:after="0"/>
              <w:rPr>
                <w:sz w:val="10"/>
                <w:szCs w:val="10"/>
                <w:color w:val="auto"/>
              </w:rPr>
            </w:pPr>
          </w:p>
        </w:tc>
        <w:tc>
          <w:tcPr>
            <w:tcW w:w="1540" w:type="dxa"/>
            <w:vAlign w:val="bottom"/>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62"/>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3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3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440" w:type="dxa"/>
            <w:vAlign w:val="bottom"/>
            <w:vMerge w:val="continue"/>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management</w:t>
            </w:r>
          </w:p>
        </w:tc>
        <w:tc>
          <w:tcPr>
            <w:tcW w:w="1320" w:type="dxa"/>
            <w:vAlign w:val="bottom"/>
          </w:tcPr>
          <w:p>
            <w:pPr>
              <w:jc w:val="right"/>
              <w:ind w:right="12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4,071</w:t>
            </w:r>
          </w:p>
        </w:tc>
        <w:tc>
          <w:tcPr>
            <w:tcW w:w="480" w:type="dxa"/>
            <w:vAlign w:val="bottom"/>
            <w:gridSpan w:val="2"/>
          </w:tcPr>
          <w:p>
            <w:pPr>
              <w:jc w:val="right"/>
              <w:ind w:right="223"/>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14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3,664</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Performance allocations</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55"/>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revenue</w:t>
            </w: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0" w:type="dxa"/>
            <w:vAlign w:val="bottom"/>
          </w:tcPr>
          <w:p>
            <w:pPr>
              <w:spacing w:after="0"/>
              <w:rPr>
                <w:sz w:val="1"/>
                <w:szCs w:val="1"/>
                <w:color w:val="auto"/>
              </w:rPr>
            </w:pPr>
          </w:p>
        </w:tc>
      </w:tr>
      <w:tr>
        <w:trPr>
          <w:trHeight w:val="142"/>
        </w:trPr>
        <w:tc>
          <w:tcPr>
            <w:tcW w:w="5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revenues</w:t>
            </w:r>
          </w:p>
        </w:tc>
        <w:tc>
          <w:tcPr>
            <w:tcW w:w="1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4,105</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4,294</w:t>
            </w:r>
          </w:p>
        </w:tc>
        <w:tc>
          <w:tcPr>
            <w:tcW w:w="0" w:type="dxa"/>
            <w:vAlign w:val="bottom"/>
          </w:tcPr>
          <w:p>
            <w:pPr>
              <w:spacing w:after="0"/>
              <w:rPr>
                <w:sz w:val="1"/>
                <w:szCs w:val="1"/>
                <w:color w:val="auto"/>
              </w:rPr>
            </w:pPr>
          </w:p>
        </w:tc>
      </w:tr>
      <w:tr>
        <w:trPr>
          <w:trHeight w:val="131"/>
        </w:trPr>
        <w:tc>
          <w:tcPr>
            <w:tcW w:w="54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Expenses</w:t>
            </w: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costs</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3,088</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1,811</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1,801</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Marketing and advertising</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155"/>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expenses</w:t>
            </w: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1,797</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1,797</w:t>
            </w:r>
          </w:p>
        </w:tc>
        <w:tc>
          <w:tcPr>
            <w:tcW w:w="0" w:type="dxa"/>
            <w:vAlign w:val="bottom"/>
          </w:tcPr>
          <w:p>
            <w:pPr>
              <w:spacing w:after="0"/>
              <w:rPr>
                <w:sz w:val="1"/>
                <w:szCs w:val="1"/>
                <w:color w:val="auto"/>
              </w:rPr>
            </w:pPr>
          </w:p>
        </w:tc>
      </w:tr>
      <w:tr>
        <w:trPr>
          <w:trHeight w:val="142"/>
        </w:trPr>
        <w:tc>
          <w:tcPr>
            <w:tcW w:w="5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expenses</w:t>
            </w:r>
          </w:p>
        </w:tc>
        <w:tc>
          <w:tcPr>
            <w:tcW w:w="1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1,612</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7,039</w:t>
            </w:r>
          </w:p>
        </w:tc>
        <w:tc>
          <w:tcPr>
            <w:tcW w:w="0" w:type="dxa"/>
            <w:vAlign w:val="bottom"/>
          </w:tcPr>
          <w:p>
            <w:pPr>
              <w:spacing w:after="0"/>
              <w:rPr>
                <w:sz w:val="1"/>
                <w:szCs w:val="1"/>
                <w:color w:val="auto"/>
              </w:rPr>
            </w:pPr>
          </w:p>
        </w:tc>
      </w:tr>
      <w:tr>
        <w:trPr>
          <w:trHeight w:val="311"/>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loss, net</w:t>
            </w:r>
          </w:p>
        </w:tc>
        <w:tc>
          <w:tcPr>
            <w:tcW w:w="1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Unrealized loss on digital assets</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(1,896)</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(1,896)</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income</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0" w:type="dxa"/>
            <w:vAlign w:val="bottom"/>
          </w:tcPr>
          <w:p>
            <w:pPr>
              <w:spacing w:after="0"/>
              <w:rPr>
                <w:sz w:val="1"/>
                <w:szCs w:val="1"/>
                <w:color w:val="auto"/>
              </w:rPr>
            </w:pPr>
          </w:p>
        </w:tc>
      </w:tr>
      <w:tr>
        <w:trPr>
          <w:trHeight w:val="155"/>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0" w:type="dxa"/>
            <w:vAlign w:val="bottom"/>
          </w:tcPr>
          <w:p>
            <w:pPr>
              <w:spacing w:after="0"/>
              <w:rPr>
                <w:sz w:val="1"/>
                <w:szCs w:val="1"/>
                <w:color w:val="auto"/>
              </w:rPr>
            </w:pPr>
          </w:p>
        </w:tc>
      </w:tr>
      <w:tr>
        <w:trPr>
          <w:trHeight w:val="140"/>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(4,336)</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(1,595)</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(5,931)</w:t>
            </w:r>
          </w:p>
        </w:tc>
        <w:tc>
          <w:tcPr>
            <w:tcW w:w="0" w:type="dxa"/>
            <w:vAlign w:val="bottom"/>
          </w:tcPr>
          <w:p>
            <w:pPr>
              <w:spacing w:after="0"/>
              <w:rPr>
                <w:sz w:val="1"/>
                <w:szCs w:val="1"/>
                <w:color w:val="auto"/>
              </w:rPr>
            </w:pPr>
          </w:p>
        </w:tc>
      </w:tr>
      <w:tr>
        <w:trPr>
          <w:trHeight w:val="155"/>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4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(4,336)</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(1,595)</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(5,931)</w:t>
            </w:r>
          </w:p>
        </w:tc>
        <w:tc>
          <w:tcPr>
            <w:tcW w:w="0" w:type="dxa"/>
            <w:vAlign w:val="bottom"/>
          </w:tcPr>
          <w:p>
            <w:pPr>
              <w:spacing w:after="0"/>
              <w:rPr>
                <w:sz w:val="1"/>
                <w:szCs w:val="1"/>
                <w:color w:val="auto"/>
              </w:rPr>
            </w:pPr>
          </w:p>
        </w:tc>
      </w:tr>
      <w:tr>
        <w:trPr>
          <w:trHeight w:val="155"/>
        </w:trPr>
        <w:tc>
          <w:tcPr>
            <w:tcW w:w="5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0" w:type="dxa"/>
            <w:vAlign w:val="bottom"/>
          </w:tcPr>
          <w:p>
            <w:pPr>
              <w:spacing w:after="0"/>
              <w:rPr>
                <w:sz w:val="1"/>
                <w:szCs w:val="1"/>
                <w:color w:val="auto"/>
              </w:rPr>
            </w:pPr>
          </w:p>
        </w:tc>
      </w:tr>
      <w:tr>
        <w:trPr>
          <w:trHeight w:val="142"/>
        </w:trPr>
        <w:tc>
          <w:tcPr>
            <w:tcW w:w="544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Net (loss) income attributable to CaliberCos Inc.</w:t>
            </w:r>
          </w:p>
        </w:tc>
        <w:tc>
          <w:tcPr>
            <w:tcW w:w="1320" w:type="dxa"/>
            <w:vAlign w:val="bottom"/>
            <w:tcBorders>
              <w:bottom w:val="single" w:sz="8" w:color="auto"/>
            </w:tcBorders>
          </w:tcPr>
          <w:p>
            <w:pPr>
              <w:jc w:val="right"/>
              <w:ind w:right="12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(4,336)</w:t>
            </w:r>
          </w:p>
        </w:tc>
        <w:tc>
          <w:tcPr>
            <w:tcW w:w="140" w:type="dxa"/>
            <w:vAlign w:val="bottom"/>
          </w:tcPr>
          <w:p>
            <w:pPr>
              <w:spacing w:after="0"/>
              <w:rPr>
                <w:sz w:val="12"/>
                <w:szCs w:val="12"/>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440" w:type="dxa"/>
            <w:vAlign w:val="bottom"/>
            <w:vMerge w:val="continue"/>
          </w:tcPr>
          <w:p>
            <w:pPr>
              <w:spacing w:after="0"/>
              <w:rPr>
                <w:sz w:val="9"/>
                <w:szCs w:val="9"/>
                <w:color w:val="auto"/>
              </w:rPr>
            </w:pPr>
          </w:p>
        </w:tc>
        <w:tc>
          <w:tcPr>
            <w:tcW w:w="1320" w:type="dxa"/>
            <w:vAlign w:val="bottom"/>
            <w:tcBorders>
              <w:bottom w:val="single" w:sz="8" w:color="auto"/>
            </w:tcBorders>
          </w:tcPr>
          <w:p>
            <w:pPr>
              <w:jc w:val="right"/>
              <w:ind w:right="1205"/>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(0.62)</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auto"/>
            </w:tcBorders>
          </w:tcPr>
          <w:p>
            <w:pPr>
              <w:jc w:val="right"/>
              <w:ind w:right="206"/>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(0.52)</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4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54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Basic and diluted</w:t>
            </w:r>
          </w:p>
        </w:tc>
        <w:tc>
          <w:tcPr>
            <w:tcW w:w="1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7,000</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7,000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4" w:lineRule="exact"/>
        <w:rPr>
          <w:sz w:val="20"/>
          <w:szCs w:val="20"/>
          <w:color w:val="auto"/>
        </w:rPr>
      </w:pPr>
    </w:p>
    <w:p>
      <w:pPr>
        <w:ind w:left="120" w:hanging="116"/>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results of our asset management platform, which are presented on a basis that deconsolidates our consolidated funds (intercompany eliminations) and eliminate noncontrolling interest.</w:t>
      </w:r>
    </w:p>
    <w:p>
      <w:pPr>
        <w:spacing w:after="0" w:line="200" w:lineRule="exact"/>
        <w:rPr>
          <w:rFonts w:ascii="Times New Roman" w:cs="Times New Roman" w:eastAsia="Times New Roman" w:hAnsi="Times New Roman"/>
          <w:sz w:val="14"/>
          <w:szCs w:val="14"/>
          <w:color w:val="auto"/>
          <w:vertAlign w:val="superscript"/>
        </w:rPr>
      </w:pPr>
    </w:p>
    <w:p>
      <w:pPr>
        <w:spacing w:after="0" w:line="200" w:lineRule="exact"/>
        <w:rPr>
          <w:rFonts w:ascii="Times New Roman" w:cs="Times New Roman" w:eastAsia="Times New Roman" w:hAnsi="Times New Roman"/>
          <w:sz w:val="14"/>
          <w:szCs w:val="14"/>
          <w:color w:val="auto"/>
          <w:vertAlign w:val="superscript"/>
        </w:rPr>
      </w:pPr>
    </w:p>
    <w:p>
      <w:pPr>
        <w:spacing w:after="0" w:line="200" w:lineRule="exact"/>
        <w:rPr>
          <w:rFonts w:ascii="Times New Roman" w:cs="Times New Roman" w:eastAsia="Times New Roman" w:hAnsi="Times New Roman"/>
          <w:sz w:val="14"/>
          <w:szCs w:val="14"/>
          <w:color w:val="auto"/>
          <w:vertAlign w:val="superscript"/>
        </w:rPr>
      </w:pPr>
    </w:p>
    <w:p>
      <w:pPr>
        <w:spacing w:after="0" w:line="334" w:lineRule="exact"/>
        <w:rPr>
          <w:rFonts w:ascii="Times New Roman" w:cs="Times New Roman" w:eastAsia="Times New Roman" w:hAnsi="Times New Roman"/>
          <w:sz w:val="14"/>
          <w:szCs w:val="14"/>
          <w:color w:val="auto"/>
          <w:vertAlign w:val="superscript"/>
        </w:rPr>
      </w:pPr>
    </w:p>
    <w:p>
      <w:pPr>
        <w:ind w:left="5620"/>
        <w:spacing w:after="0"/>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989"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8"/>
        </w:trPr>
        <w:tc>
          <w:tcPr>
            <w:tcW w:w="54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2025</w:t>
            </w: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440" w:type="dxa"/>
            <w:vAlign w:val="bottom"/>
          </w:tcPr>
          <w:p>
            <w:pPr>
              <w:spacing w:after="0"/>
              <w:rPr>
                <w:sz w:val="10"/>
                <w:szCs w:val="10"/>
                <w:color w:val="auto"/>
              </w:rPr>
            </w:pPr>
          </w:p>
        </w:tc>
        <w:tc>
          <w:tcPr>
            <w:tcW w:w="1320" w:type="dxa"/>
            <w:vAlign w:val="bottom"/>
            <w:vMerge w:val="restart"/>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Platform</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gridSpan w:val="3"/>
          </w:tcPr>
          <w:p>
            <w:pPr>
              <w:jc w:val="center"/>
              <w:ind w:right="140"/>
              <w:spacing w:after="0" w:line="115" w:lineRule="exact"/>
              <w:rPr>
                <w:sz w:val="20"/>
                <w:szCs w:val="20"/>
                <w:color w:val="auto"/>
              </w:rPr>
            </w:pPr>
            <w:r>
              <w:rPr>
                <w:rFonts w:ascii="Times New Roman" w:cs="Times New Roman" w:eastAsia="Times New Roman" w:hAnsi="Times New Roman"/>
                <w:sz w:val="12"/>
                <w:szCs w:val="12"/>
                <w:b w:val="1"/>
                <w:bCs w:val="1"/>
                <w:color w:val="auto"/>
              </w:rPr>
              <w:t>Impact of Consolidated Funds and</w:t>
            </w:r>
          </w:p>
        </w:tc>
        <w:tc>
          <w:tcPr>
            <w:tcW w:w="320" w:type="dxa"/>
            <w:vAlign w:val="bottom"/>
          </w:tcPr>
          <w:p>
            <w:pPr>
              <w:spacing w:after="0"/>
              <w:rPr>
                <w:sz w:val="10"/>
                <w:szCs w:val="10"/>
                <w:color w:val="auto"/>
              </w:rPr>
            </w:pPr>
          </w:p>
        </w:tc>
        <w:tc>
          <w:tcPr>
            <w:tcW w:w="1540" w:type="dxa"/>
            <w:vAlign w:val="bottom"/>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62"/>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3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3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440" w:type="dxa"/>
            <w:vAlign w:val="bottom"/>
            <w:vMerge w:val="continue"/>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 management</w:t>
            </w:r>
          </w:p>
        </w:tc>
        <w:tc>
          <w:tcPr>
            <w:tcW w:w="1320" w:type="dxa"/>
            <w:vAlign w:val="bottom"/>
          </w:tcPr>
          <w:p>
            <w:pPr>
              <w:jc w:val="right"/>
              <w:ind w:right="12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3,542</w:t>
            </w:r>
          </w:p>
        </w:tc>
        <w:tc>
          <w:tcPr>
            <w:tcW w:w="480" w:type="dxa"/>
            <w:vAlign w:val="bottom"/>
            <w:gridSpan w:val="2"/>
          </w:tcPr>
          <w:p>
            <w:pPr>
              <w:jc w:val="right"/>
              <w:ind w:right="223"/>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14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3,196</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Performance allocations</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hospitality revenue</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3,919</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3,919</w:t>
            </w:r>
          </w:p>
        </w:tc>
        <w:tc>
          <w:tcPr>
            <w:tcW w:w="0" w:type="dxa"/>
            <w:vAlign w:val="bottom"/>
          </w:tcPr>
          <w:p>
            <w:pPr>
              <w:spacing w:after="0"/>
              <w:rPr>
                <w:sz w:val="1"/>
                <w:szCs w:val="1"/>
                <w:color w:val="auto"/>
              </w:rPr>
            </w:pPr>
          </w:p>
        </w:tc>
      </w:tr>
      <w:tr>
        <w:trPr>
          <w:trHeight w:val="155"/>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revenue</w:t>
            </w: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0" w:type="dxa"/>
            <w:vAlign w:val="bottom"/>
          </w:tcPr>
          <w:p>
            <w:pPr>
              <w:spacing w:after="0"/>
              <w:rPr>
                <w:sz w:val="1"/>
                <w:szCs w:val="1"/>
                <w:color w:val="auto"/>
              </w:rPr>
            </w:pPr>
          </w:p>
        </w:tc>
      </w:tr>
      <w:tr>
        <w:trPr>
          <w:trHeight w:val="142"/>
        </w:trPr>
        <w:tc>
          <w:tcPr>
            <w:tcW w:w="5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revenues</w:t>
            </w:r>
          </w:p>
        </w:tc>
        <w:tc>
          <w:tcPr>
            <w:tcW w:w="1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3,549</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3,712</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7,261</w:t>
            </w:r>
          </w:p>
        </w:tc>
        <w:tc>
          <w:tcPr>
            <w:tcW w:w="0" w:type="dxa"/>
            <w:vAlign w:val="bottom"/>
          </w:tcPr>
          <w:p>
            <w:pPr>
              <w:spacing w:after="0"/>
              <w:rPr>
                <w:sz w:val="1"/>
                <w:szCs w:val="1"/>
                <w:color w:val="auto"/>
              </w:rPr>
            </w:pPr>
          </w:p>
        </w:tc>
      </w:tr>
      <w:tr>
        <w:trPr>
          <w:trHeight w:val="131"/>
        </w:trPr>
        <w:tc>
          <w:tcPr>
            <w:tcW w:w="54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Expenses</w:t>
            </w: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Operating costs</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4,168</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4,044</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Marketing and advertising</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0" w:type="dxa"/>
            <w:vAlign w:val="bottom"/>
          </w:tcPr>
          <w:p>
            <w:pPr>
              <w:spacing w:after="0"/>
              <w:rPr>
                <w:sz w:val="1"/>
                <w:szCs w:val="1"/>
                <w:color w:val="auto"/>
              </w:rPr>
            </w:pPr>
          </w:p>
        </w:tc>
      </w:tr>
      <w:tr>
        <w:trPr>
          <w:trHeight w:val="153"/>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hospitality expenses</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3,465</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3,465</w:t>
            </w:r>
          </w:p>
        </w:tc>
        <w:tc>
          <w:tcPr>
            <w:tcW w:w="0" w:type="dxa"/>
            <w:vAlign w:val="bottom"/>
          </w:tcPr>
          <w:p>
            <w:pPr>
              <w:spacing w:after="0"/>
              <w:rPr>
                <w:sz w:val="1"/>
                <w:szCs w:val="1"/>
                <w:color w:val="auto"/>
              </w:rPr>
            </w:pPr>
          </w:p>
        </w:tc>
      </w:tr>
      <w:tr>
        <w:trPr>
          <w:trHeight w:val="155"/>
        </w:trPr>
        <w:tc>
          <w:tcPr>
            <w:tcW w:w="54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Consolidated funds – other expenses</w:t>
            </w: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0" w:type="dxa"/>
            <w:vAlign w:val="bottom"/>
          </w:tcPr>
          <w:p>
            <w:pPr>
              <w:spacing w:after="0"/>
              <w:rPr>
                <w:sz w:val="1"/>
                <w:szCs w:val="1"/>
                <w:color w:val="auto"/>
              </w:rPr>
            </w:pPr>
          </w:p>
        </w:tc>
      </w:tr>
      <w:tr>
        <w:trPr>
          <w:trHeight w:val="142"/>
        </w:trPr>
        <w:tc>
          <w:tcPr>
            <w:tcW w:w="5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expenses</w:t>
            </w:r>
          </w:p>
        </w:tc>
        <w:tc>
          <w:tcPr>
            <w:tcW w:w="1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6,087</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3,783</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9,870</w:t>
            </w:r>
          </w:p>
        </w:tc>
        <w:tc>
          <w:tcPr>
            <w:tcW w:w="0" w:type="dxa"/>
            <w:vAlign w:val="bottom"/>
          </w:tcPr>
          <w:p>
            <w:pPr>
              <w:spacing w:after="0"/>
              <w:rPr>
                <w:sz w:val="1"/>
                <w:szCs w:val="1"/>
                <w:color w:val="auto"/>
              </w:rPr>
            </w:pPr>
          </w:p>
        </w:tc>
      </w:tr>
      <w:tr>
        <w:trPr>
          <w:trHeight w:val="302"/>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(loss), net</w:t>
            </w:r>
          </w:p>
        </w:tc>
        <w:tc>
          <w:tcPr>
            <w:tcW w:w="1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income</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55"/>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(1,611)</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(1,611)</w:t>
            </w:r>
          </w:p>
        </w:tc>
        <w:tc>
          <w:tcPr>
            <w:tcW w:w="0" w:type="dxa"/>
            <w:vAlign w:val="bottom"/>
          </w:tcPr>
          <w:p>
            <w:pPr>
              <w:spacing w:after="0"/>
              <w:rPr>
                <w:sz w:val="1"/>
                <w:szCs w:val="1"/>
                <w:color w:val="auto"/>
              </w:rPr>
            </w:pPr>
          </w:p>
        </w:tc>
      </w:tr>
      <w:tr>
        <w:trPr>
          <w:trHeight w:val="140"/>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(4,110)</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(4,554)</w:t>
            </w:r>
          </w:p>
        </w:tc>
        <w:tc>
          <w:tcPr>
            <w:tcW w:w="0" w:type="dxa"/>
            <w:vAlign w:val="bottom"/>
          </w:tcPr>
          <w:p>
            <w:pPr>
              <w:spacing w:after="0"/>
              <w:rPr>
                <w:sz w:val="1"/>
                <w:szCs w:val="1"/>
                <w:color w:val="auto"/>
              </w:rPr>
            </w:pPr>
          </w:p>
        </w:tc>
      </w:tr>
      <w:tr>
        <w:trPr>
          <w:trHeight w:val="155"/>
        </w:trPr>
        <w:tc>
          <w:tcPr>
            <w:tcW w:w="5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4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(4,110)</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(4,554)</w:t>
            </w:r>
          </w:p>
        </w:tc>
        <w:tc>
          <w:tcPr>
            <w:tcW w:w="0" w:type="dxa"/>
            <w:vAlign w:val="bottom"/>
          </w:tcPr>
          <w:p>
            <w:pPr>
              <w:spacing w:after="0"/>
              <w:rPr>
                <w:sz w:val="1"/>
                <w:szCs w:val="1"/>
                <w:color w:val="auto"/>
              </w:rPr>
            </w:pPr>
          </w:p>
        </w:tc>
      </w:tr>
      <w:tr>
        <w:trPr>
          <w:trHeight w:val="155"/>
        </w:trPr>
        <w:tc>
          <w:tcPr>
            <w:tcW w:w="5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2"/>
        </w:trPr>
        <w:tc>
          <w:tcPr>
            <w:tcW w:w="544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320" w:type="dxa"/>
            <w:vAlign w:val="bottom"/>
            <w:tcBorders>
              <w:bottom w:val="single" w:sz="8" w:color="auto"/>
            </w:tcBorders>
          </w:tcPr>
          <w:p>
            <w:pPr>
              <w:jc w:val="right"/>
              <w:ind w:right="12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(4,110)</w:t>
            </w:r>
          </w:p>
        </w:tc>
        <w:tc>
          <w:tcPr>
            <w:tcW w:w="140" w:type="dxa"/>
            <w:vAlign w:val="bottom"/>
          </w:tcPr>
          <w:p>
            <w:pPr>
              <w:spacing w:after="0"/>
              <w:rPr>
                <w:sz w:val="12"/>
                <w:szCs w:val="12"/>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(4,407)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440" w:type="dxa"/>
            <w:vAlign w:val="bottom"/>
            <w:vMerge w:val="continue"/>
          </w:tcPr>
          <w:p>
            <w:pPr>
              <w:spacing w:after="0"/>
              <w:rPr>
                <w:sz w:val="9"/>
                <w:szCs w:val="9"/>
                <w:color w:val="auto"/>
              </w:rPr>
            </w:pPr>
          </w:p>
        </w:tc>
        <w:tc>
          <w:tcPr>
            <w:tcW w:w="1320" w:type="dxa"/>
            <w:vAlign w:val="bottom"/>
            <w:tcBorders>
              <w:bottom w:val="single" w:sz="8" w:color="auto"/>
            </w:tcBorders>
          </w:tcPr>
          <w:p>
            <w:pPr>
              <w:jc w:val="right"/>
              <w:ind w:right="1205"/>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(3.59)</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auto"/>
            </w:tcBorders>
          </w:tcPr>
          <w:p>
            <w:pPr>
              <w:jc w:val="right"/>
              <w:ind w:right="206"/>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(3.85)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44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54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Basic and diluted</w:t>
            </w:r>
          </w:p>
        </w:tc>
        <w:tc>
          <w:tcPr>
            <w:tcW w:w="1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1,146</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1,146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4" w:lineRule="exact"/>
        <w:rPr>
          <w:sz w:val="20"/>
          <w:szCs w:val="20"/>
          <w:color w:val="auto"/>
        </w:rPr>
      </w:pPr>
    </w:p>
    <w:p>
      <w:pPr>
        <w:ind w:left="120" w:hanging="116"/>
        <w:spacing w:after="0"/>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results of our asset management platform, which are presented on a basis that deconsolidates our consolidated funds (intercompany eliminations) and eliminate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1025" w:right="29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2"/>
          <w:szCs w:val="12"/>
          <w:b w:val="1"/>
          <w:bCs w:val="1"/>
          <w:color w:val="auto"/>
        </w:rPr>
        <w:t>PLATFORM REVENUE</w:t>
      </w:r>
      <w:r>
        <w:rPr>
          <w:rFonts w:ascii="Times New Roman" w:cs="Times New Roman" w:eastAsia="Times New Roman" w:hAnsi="Times New Roman"/>
          <w:sz w:val="15"/>
          <w:szCs w:val="15"/>
          <w:b w:val="1"/>
          <w:bCs w:val="1"/>
          <w:color w:val="auto"/>
          <w:vertAlign w:val="superscript"/>
        </w:rPr>
        <w:t>(1)</w:t>
      </w:r>
    </w:p>
    <w:p>
      <w:pPr>
        <w:ind w:left="8"/>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350" w:lineRule="exact"/>
        <w:rPr>
          <w:sz w:val="20"/>
          <w:szCs w:val="20"/>
          <w:color w:val="auto"/>
        </w:rPr>
      </w:pPr>
    </w:p>
    <w:tbl>
      <w:tblPr>
        <w:tblLayout w:type="fixed"/>
        <w:tblInd w:w="308" w:type="dxa"/>
        <w:tblCellMar>
          <w:top w:w="0" w:type="dxa"/>
          <w:left w:w="0" w:type="dxa"/>
          <w:bottom w:w="0" w:type="dxa"/>
          <w:right w:w="0" w:type="dxa"/>
        </w:tblCellMar>
      </w:tblPr>
      <w:tr>
        <w:trPr>
          <w:trHeight w:val="168"/>
        </w:trPr>
        <w:tc>
          <w:tcPr>
            <w:tcW w:w="60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420" w:type="dxa"/>
            <w:vAlign w:val="bottom"/>
            <w:tcBorders>
              <w:bottom w:val="single" w:sz="8" w:color="auto"/>
            </w:tcBorders>
          </w:tcPr>
          <w:p>
            <w:pPr>
              <w:spacing w:after="0"/>
              <w:rPr>
                <w:sz w:val="14"/>
                <w:szCs w:val="14"/>
                <w:color w:val="auto"/>
              </w:rPr>
            </w:pPr>
          </w:p>
        </w:tc>
      </w:tr>
      <w:tr>
        <w:trPr>
          <w:trHeight w:val="151"/>
        </w:trPr>
        <w:tc>
          <w:tcPr>
            <w:tcW w:w="6020" w:type="dxa"/>
            <w:vAlign w:val="bottom"/>
          </w:tcPr>
          <w:p>
            <w:pPr>
              <w:spacing w:after="0"/>
              <w:rPr>
                <w:sz w:val="13"/>
                <w:szCs w:val="13"/>
                <w:color w:val="auto"/>
              </w:rPr>
            </w:pPr>
          </w:p>
        </w:tc>
        <w:tc>
          <w:tcPr>
            <w:tcW w:w="1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0"/>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Fund management fees</w:t>
            </w:r>
          </w:p>
        </w:tc>
        <w:tc>
          <w:tcPr>
            <w:tcW w:w="1420" w:type="dxa"/>
            <w:vAlign w:val="bottom"/>
          </w:tcPr>
          <w:p>
            <w:pPr>
              <w:jc w:val="right"/>
              <w:ind w:right="12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2,845</w:t>
            </w:r>
          </w:p>
        </w:tc>
        <w:tc>
          <w:tcPr>
            <w:tcW w:w="140" w:type="dxa"/>
            <w:vAlign w:val="bottom"/>
          </w:tcPr>
          <w:p>
            <w:pPr>
              <w:spacing w:after="0"/>
              <w:rPr>
                <w:sz w:val="12"/>
                <w:szCs w:val="12"/>
                <w:color w:val="auto"/>
              </w:rPr>
            </w:pP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2,744</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Financing fees</w:t>
            </w:r>
          </w:p>
        </w:tc>
        <w:tc>
          <w:tcPr>
            <w:tcW w:w="1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Development and construction fees</w:t>
            </w:r>
          </w:p>
        </w:tc>
        <w:tc>
          <w:tcPr>
            <w:tcW w:w="1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w:t>
            </w:r>
          </w:p>
        </w:tc>
      </w:tr>
      <w:tr>
        <w:trPr>
          <w:trHeight w:val="155"/>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Brokerage fees</w:t>
            </w:r>
          </w:p>
        </w:tc>
        <w:tc>
          <w:tcPr>
            <w:tcW w:w="1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1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w:t>
            </w:r>
          </w:p>
        </w:tc>
      </w:tr>
      <w:tr>
        <w:trPr>
          <w:trHeight w:val="140"/>
        </w:trPr>
        <w:tc>
          <w:tcPr>
            <w:tcW w:w="6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asset management</w:t>
            </w:r>
          </w:p>
        </w:tc>
        <w:tc>
          <w:tcPr>
            <w:tcW w:w="14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4,071</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3,542</w:t>
            </w:r>
          </w:p>
        </w:tc>
      </w:tr>
      <w:tr>
        <w:trPr>
          <w:trHeight w:val="155"/>
        </w:trPr>
        <w:tc>
          <w:tcPr>
            <w:tcW w:w="60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Performance allocations</w:t>
            </w:r>
          </w:p>
        </w:tc>
        <w:tc>
          <w:tcPr>
            <w:tcW w:w="1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2"/>
        </w:trPr>
        <w:tc>
          <w:tcPr>
            <w:tcW w:w="60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revenue</w:t>
            </w:r>
          </w:p>
        </w:tc>
        <w:tc>
          <w:tcPr>
            <w:tcW w:w="1420" w:type="dxa"/>
            <w:vAlign w:val="bottom"/>
            <w:tcBorders>
              <w:bottom w:val="single" w:sz="8" w:color="auto"/>
            </w:tcBorders>
          </w:tcPr>
          <w:p>
            <w:pPr>
              <w:jc w:val="right"/>
              <w:ind w:right="12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4,105</w:t>
            </w:r>
          </w:p>
        </w:tc>
        <w:tc>
          <w:tcPr>
            <w:tcW w:w="140" w:type="dxa"/>
            <w:vAlign w:val="bottom"/>
          </w:tcPr>
          <w:p>
            <w:pPr>
              <w:spacing w:after="0"/>
              <w:rPr>
                <w:sz w:val="12"/>
                <w:szCs w:val="12"/>
                <w:color w:val="auto"/>
              </w:rPr>
            </w:pP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3,549</w:t>
            </w:r>
          </w:p>
        </w:tc>
      </w:tr>
      <w:tr>
        <w:trPr>
          <w:trHeight w:val="20"/>
        </w:trPr>
        <w:tc>
          <w:tcPr>
            <w:tcW w:w="60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___________________________________________</w:t>
      </w:r>
    </w:p>
    <w:p>
      <w:pPr>
        <w:ind w:left="128" w:hanging="128"/>
        <w:spacing w:after="0" w:line="209" w:lineRule="auto"/>
        <w:tabs>
          <w:tab w:leader="none" w:pos="128"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results of our asset management platform, which are presented on a basis that deconsolidates our consolidated funds (intercompany eliminations) and eliminates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8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108"/>
          </w:cols>
          <w:pgMar w:left="292" w:top="976" w:right="49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2"/>
          <w:szCs w:val="12"/>
          <w:b w:val="1"/>
          <w:bCs w:val="1"/>
          <w:color w:val="auto"/>
        </w:rPr>
        <w:t>FV AUM and Managed Capital (UNAUDITED)</w:t>
      </w:r>
    </w:p>
    <w:p>
      <w:pPr>
        <w:spacing w:after="0" w:line="163"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The following information summarizes management’s estimates of fair value related to the entire portfolio of investments that Caliber manages and the total amount of capital that is being managed across the portfolio. The fair value of our AUM conveys an indication of the overall health of our investments and potentially how much performance allocation Caliber would earn if those assets were sold. Managed Capital is used to evaluate, among other things, the amount of asset management fees we generate from the portfolio.</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FV AUM</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December 31, 2025</w:t>
            </w:r>
          </w:p>
        </w:tc>
        <w:tc>
          <w:tcPr>
            <w:tcW w:w="1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779,730</w:t>
            </w:r>
          </w:p>
        </w:tc>
        <w:tc>
          <w:tcPr>
            <w:tcW w:w="0" w:type="dxa"/>
            <w:vAlign w:val="bottom"/>
          </w:tcPr>
          <w:p>
            <w:pPr>
              <w:spacing w:after="0"/>
              <w:rPr>
                <w:sz w:val="1"/>
                <w:szCs w:val="1"/>
                <w:color w:val="auto"/>
              </w:rPr>
            </w:pPr>
          </w:p>
        </w:tc>
      </w:tr>
      <w:tr>
        <w:trPr>
          <w:trHeight w:val="178"/>
        </w:trPr>
        <w:tc>
          <w:tcPr>
            <w:tcW w:w="6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Assets acquired</w:t>
            </w:r>
            <w:r>
              <w:rPr>
                <w:rFonts w:ascii="Times New Roman" w:cs="Times New Roman" w:eastAsia="Times New Roman" w:hAnsi="Times New Roman"/>
                <w:sz w:val="15"/>
                <w:szCs w:val="15"/>
                <w:color w:val="auto"/>
                <w:vertAlign w:val="superscript"/>
              </w:rPr>
              <w:t>(1)</w:t>
            </w:r>
          </w:p>
        </w:tc>
        <w:tc>
          <w:tcPr>
            <w:tcW w:w="1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4,150</w:t>
            </w:r>
          </w:p>
        </w:tc>
        <w:tc>
          <w:tcPr>
            <w:tcW w:w="0" w:type="dxa"/>
            <w:vAlign w:val="bottom"/>
          </w:tcPr>
          <w:p>
            <w:pPr>
              <w:spacing w:after="0"/>
              <w:rPr>
                <w:sz w:val="1"/>
                <w:szCs w:val="1"/>
                <w:color w:val="auto"/>
              </w:rPr>
            </w:pPr>
          </w:p>
        </w:tc>
      </w:tr>
      <w:tr>
        <w:trPr>
          <w:trHeight w:val="149"/>
        </w:trPr>
        <w:tc>
          <w:tcPr>
            <w:tcW w:w="6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Construction and net market appreciation</w:t>
            </w:r>
          </w:p>
        </w:tc>
        <w:tc>
          <w:tcPr>
            <w:tcW w:w="1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(4,675)</w:t>
            </w:r>
          </w:p>
        </w:tc>
        <w:tc>
          <w:tcPr>
            <w:tcW w:w="0" w:type="dxa"/>
            <w:vAlign w:val="bottom"/>
          </w:tcPr>
          <w:p>
            <w:pPr>
              <w:spacing w:after="0"/>
              <w:rPr>
                <w:sz w:val="1"/>
                <w:szCs w:val="1"/>
                <w:color w:val="auto"/>
              </w:rPr>
            </w:pPr>
          </w:p>
        </w:tc>
      </w:tr>
      <w:tr>
        <w:trPr>
          <w:trHeight w:val="162"/>
        </w:trPr>
        <w:tc>
          <w:tcPr>
            <w:tcW w:w="6540" w:type="dxa"/>
            <w:vAlign w:val="bottom"/>
          </w:tcPr>
          <w:p>
            <w:pPr>
              <w:ind w:left="120"/>
              <w:spacing w:after="0" w:line="162" w:lineRule="exact"/>
              <w:rPr>
                <w:sz w:val="20"/>
                <w:szCs w:val="20"/>
                <w:color w:val="auto"/>
              </w:rPr>
            </w:pPr>
            <w:r>
              <w:rPr>
                <w:rFonts w:ascii="Times New Roman" w:cs="Times New Roman" w:eastAsia="Times New Roman" w:hAnsi="Times New Roman"/>
                <w:sz w:val="12"/>
                <w:szCs w:val="12"/>
                <w:color w:val="auto"/>
              </w:rPr>
              <w:t>Assets sold</w:t>
            </w:r>
            <w:r>
              <w:rPr>
                <w:rFonts w:ascii="Times New Roman" w:cs="Times New Roman" w:eastAsia="Times New Roman" w:hAnsi="Times New Roman"/>
                <w:sz w:val="15"/>
                <w:szCs w:val="15"/>
                <w:color w:val="auto"/>
                <w:vertAlign w:val="superscript"/>
              </w:rPr>
              <w:t>(2)</w:t>
            </w:r>
          </w:p>
        </w:tc>
        <w:tc>
          <w:tcPr>
            <w:tcW w:w="1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(10,275)</w:t>
            </w:r>
          </w:p>
        </w:tc>
        <w:tc>
          <w:tcPr>
            <w:tcW w:w="0" w:type="dxa"/>
            <w:vAlign w:val="bottom"/>
          </w:tcPr>
          <w:p>
            <w:pPr>
              <w:spacing w:after="0"/>
              <w:rPr>
                <w:sz w:val="1"/>
                <w:szCs w:val="1"/>
                <w:color w:val="auto"/>
              </w:rPr>
            </w:pPr>
          </w:p>
        </w:tc>
      </w:tr>
      <w:tr>
        <w:trPr>
          <w:trHeight w:val="180"/>
        </w:trPr>
        <w:tc>
          <w:tcPr>
            <w:tcW w:w="6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Credit</w:t>
            </w:r>
            <w:r>
              <w:rPr>
                <w:rFonts w:ascii="Times New Roman" w:cs="Times New Roman" w:eastAsia="Times New Roman" w:hAnsi="Times New Roman"/>
                <w:sz w:val="15"/>
                <w:szCs w:val="15"/>
                <w:color w:val="auto"/>
                <w:vertAlign w:val="superscript"/>
              </w:rPr>
              <w:t>(3)</w:t>
            </w:r>
          </w:p>
        </w:tc>
        <w:tc>
          <w:tcPr>
            <w:tcW w:w="1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(29,403)</w:t>
            </w:r>
          </w:p>
        </w:tc>
        <w:tc>
          <w:tcPr>
            <w:tcW w:w="0" w:type="dxa"/>
            <w:vAlign w:val="bottom"/>
          </w:tcPr>
          <w:p>
            <w:pPr>
              <w:spacing w:after="0"/>
              <w:rPr>
                <w:sz w:val="1"/>
                <w:szCs w:val="1"/>
                <w:color w:val="auto"/>
              </w:rPr>
            </w:pPr>
          </w:p>
        </w:tc>
      </w:tr>
      <w:tr>
        <w:trPr>
          <w:trHeight w:val="176"/>
        </w:trPr>
        <w:tc>
          <w:tcPr>
            <w:tcW w:w="6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(4)</w:t>
            </w:r>
          </w:p>
        </w:tc>
        <w:tc>
          <w:tcPr>
            <w:tcW w:w="1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(3,176)</w:t>
            </w:r>
          </w:p>
        </w:tc>
        <w:tc>
          <w:tcPr>
            <w:tcW w:w="0" w:type="dxa"/>
            <w:vAlign w:val="bottom"/>
          </w:tcPr>
          <w:p>
            <w:pPr>
              <w:spacing w:after="0"/>
              <w:rPr>
                <w:sz w:val="1"/>
                <w:szCs w:val="1"/>
                <w:color w:val="auto"/>
              </w:rPr>
            </w:pPr>
          </w:p>
        </w:tc>
      </w:tr>
      <w:tr>
        <w:trPr>
          <w:trHeight w:val="144"/>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Balances as of March 31, 2026</w:t>
            </w:r>
          </w:p>
        </w:tc>
        <w:tc>
          <w:tcPr>
            <w:tcW w:w="1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736,351</w:t>
            </w:r>
          </w:p>
        </w:tc>
        <w:tc>
          <w:tcPr>
            <w:tcW w:w="0" w:type="dxa"/>
            <w:vAlign w:val="bottom"/>
          </w:tcPr>
          <w:p>
            <w:pPr>
              <w:spacing w:after="0"/>
              <w:rPr>
                <w:sz w:val="1"/>
                <w:szCs w:val="1"/>
                <w:color w:val="auto"/>
              </w:rPr>
            </w:pPr>
          </w:p>
        </w:tc>
      </w:tr>
      <w:tr>
        <w:trPr>
          <w:trHeight w:val="709"/>
        </w:trPr>
        <w:tc>
          <w:tcPr>
            <w:tcW w:w="65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Real Estate</w:t>
            </w:r>
          </w:p>
        </w:tc>
        <w:tc>
          <w:tcPr>
            <w:tcW w:w="17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1"/>
        </w:trPr>
        <w:tc>
          <w:tcPr>
            <w:tcW w:w="654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Hospitality</w:t>
            </w:r>
          </w:p>
        </w:tc>
        <w:tc>
          <w:tcPr>
            <w:tcW w:w="1700" w:type="dxa"/>
            <w:vAlign w:val="bottom"/>
          </w:tcPr>
          <w:p>
            <w:pPr>
              <w:jc w:val="right"/>
              <w:ind w:right="15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51,600</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55,600</w:t>
            </w:r>
          </w:p>
        </w:tc>
        <w:tc>
          <w:tcPr>
            <w:tcW w:w="0" w:type="dxa"/>
            <w:vAlign w:val="bottom"/>
          </w:tcPr>
          <w:p>
            <w:pPr>
              <w:spacing w:after="0"/>
              <w:rPr>
                <w:sz w:val="1"/>
                <w:szCs w:val="1"/>
                <w:color w:val="auto"/>
              </w:rPr>
            </w:pPr>
          </w:p>
        </w:tc>
      </w:tr>
      <w:tr>
        <w:trPr>
          <w:trHeight w:val="153"/>
        </w:trPr>
        <w:tc>
          <w:tcPr>
            <w:tcW w:w="65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Caliber Hospitality Trust</w:t>
            </w:r>
          </w:p>
        </w:tc>
        <w:tc>
          <w:tcPr>
            <w:tcW w:w="17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191,100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191,900</w:t>
            </w:r>
          </w:p>
        </w:tc>
        <w:tc>
          <w:tcPr>
            <w:tcW w:w="0" w:type="dxa"/>
            <w:vAlign w:val="bottom"/>
          </w:tcPr>
          <w:p>
            <w:pPr>
              <w:spacing w:after="0"/>
              <w:rPr>
                <w:sz w:val="1"/>
                <w:szCs w:val="1"/>
                <w:color w:val="auto"/>
              </w:rPr>
            </w:pPr>
          </w:p>
        </w:tc>
      </w:tr>
      <w:tr>
        <w:trPr>
          <w:trHeight w:val="153"/>
        </w:trPr>
        <w:tc>
          <w:tcPr>
            <w:tcW w:w="65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Residential</w:t>
            </w:r>
          </w:p>
        </w:tc>
        <w:tc>
          <w:tcPr>
            <w:tcW w:w="17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159,200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165,900</w:t>
            </w:r>
          </w:p>
        </w:tc>
        <w:tc>
          <w:tcPr>
            <w:tcW w:w="0" w:type="dxa"/>
            <w:vAlign w:val="bottom"/>
          </w:tcPr>
          <w:p>
            <w:pPr>
              <w:spacing w:after="0"/>
              <w:rPr>
                <w:sz w:val="1"/>
                <w:szCs w:val="1"/>
                <w:color w:val="auto"/>
              </w:rPr>
            </w:pPr>
          </w:p>
        </w:tc>
      </w:tr>
      <w:tr>
        <w:trPr>
          <w:trHeight w:val="155"/>
        </w:trPr>
        <w:tc>
          <w:tcPr>
            <w:tcW w:w="65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Commercial</w:t>
            </w:r>
          </w:p>
        </w:tc>
        <w:tc>
          <w:tcPr>
            <w:tcW w:w="17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280,700</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280,000</w:t>
            </w:r>
          </w:p>
        </w:tc>
        <w:tc>
          <w:tcPr>
            <w:tcW w:w="0" w:type="dxa"/>
            <w:vAlign w:val="bottom"/>
          </w:tcPr>
          <w:p>
            <w:pPr>
              <w:spacing w:after="0"/>
              <w:rPr>
                <w:sz w:val="1"/>
                <w:szCs w:val="1"/>
                <w:color w:val="auto"/>
              </w:rPr>
            </w:pPr>
          </w:p>
        </w:tc>
      </w:tr>
      <w:tr>
        <w:trPr>
          <w:trHeight w:val="140"/>
        </w:trPr>
        <w:tc>
          <w:tcPr>
            <w:tcW w:w="6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Total Real Estate</w:t>
            </w:r>
          </w:p>
        </w:tc>
        <w:tc>
          <w:tcPr>
            <w:tcW w:w="17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682,600</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693,400</w:t>
            </w:r>
          </w:p>
        </w:tc>
        <w:tc>
          <w:tcPr>
            <w:tcW w:w="0" w:type="dxa"/>
            <w:vAlign w:val="bottom"/>
          </w:tcPr>
          <w:p>
            <w:pPr>
              <w:spacing w:after="0"/>
              <w:rPr>
                <w:sz w:val="1"/>
                <w:szCs w:val="1"/>
                <w:color w:val="auto"/>
              </w:rPr>
            </w:pPr>
          </w:p>
        </w:tc>
      </w:tr>
      <w:tr>
        <w:trPr>
          <w:trHeight w:val="153"/>
        </w:trPr>
        <w:tc>
          <w:tcPr>
            <w:tcW w:w="6540" w:type="dxa"/>
            <w:vAlign w:val="bottom"/>
          </w:tcPr>
          <w:p>
            <w:pPr>
              <w:ind w:left="140"/>
              <w:spacing w:after="0" w:line="153" w:lineRule="exact"/>
              <w:rPr>
                <w:sz w:val="20"/>
                <w:szCs w:val="20"/>
                <w:color w:val="auto"/>
              </w:rPr>
            </w:pPr>
            <w:r>
              <w:rPr>
                <w:rFonts w:ascii="Times New Roman" w:cs="Times New Roman" w:eastAsia="Times New Roman" w:hAnsi="Times New Roman"/>
                <w:sz w:val="12"/>
                <w:szCs w:val="12"/>
                <w:color w:val="auto"/>
              </w:rPr>
              <w:t>Credit</w:t>
            </w:r>
            <w:r>
              <w:rPr>
                <w:rFonts w:ascii="Times New Roman" w:cs="Times New Roman" w:eastAsia="Times New Roman" w:hAnsi="Times New Roman"/>
                <w:sz w:val="15"/>
                <w:szCs w:val="15"/>
                <w:color w:val="auto"/>
                <w:vertAlign w:val="superscript"/>
              </w:rPr>
              <w:t>(3)</w:t>
            </w:r>
          </w:p>
        </w:tc>
        <w:tc>
          <w:tcPr>
            <w:tcW w:w="17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52,760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82,163</w:t>
            </w:r>
          </w:p>
        </w:tc>
        <w:tc>
          <w:tcPr>
            <w:tcW w:w="0" w:type="dxa"/>
            <w:vAlign w:val="bottom"/>
          </w:tcPr>
          <w:p>
            <w:pPr>
              <w:spacing w:after="0"/>
              <w:rPr>
                <w:sz w:val="1"/>
                <w:szCs w:val="1"/>
                <w:color w:val="auto"/>
              </w:rPr>
            </w:pPr>
          </w:p>
        </w:tc>
      </w:tr>
      <w:tr>
        <w:trPr>
          <w:trHeight w:val="155"/>
        </w:trPr>
        <w:tc>
          <w:tcPr>
            <w:tcW w:w="6540" w:type="dxa"/>
            <w:vAlign w:val="bottom"/>
          </w:tcPr>
          <w:p>
            <w:pPr>
              <w:ind w:left="140"/>
              <w:spacing w:after="0" w:line="155"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(4)</w:t>
            </w:r>
          </w:p>
        </w:tc>
        <w:tc>
          <w:tcPr>
            <w:tcW w:w="17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991</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700" w:type="dxa"/>
            <w:vAlign w:val="bottom"/>
            <w:tcBorders>
              <w:bottom w:val="single" w:sz="8" w:color="auto"/>
            </w:tcBorders>
          </w:tcPr>
          <w:p>
            <w:pPr>
              <w:jc w:val="right"/>
              <w:ind w:right="15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736,351</w:t>
            </w:r>
          </w:p>
        </w:tc>
        <w:tc>
          <w:tcPr>
            <w:tcW w:w="14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779,730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___________________________________________</w:t>
      </w:r>
    </w:p>
    <w:p>
      <w:pPr>
        <w:ind w:left="228" w:hanging="228"/>
        <w:spacing w:after="0" w:line="209" w:lineRule="auto"/>
        <w:tabs>
          <w:tab w:leader="none" w:pos="22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Assets acquired during the three months ended March 31, 2026 include one land parcel intended for hotel development in Colorado.</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186" w:lineRule="auto"/>
        <w:tabs>
          <w:tab w:leader="none" w:pos="20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Assets sold during the three months ended March 31, 2026 include one multi-family residential asset.</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186" w:lineRule="auto"/>
        <w:tabs>
          <w:tab w:leader="none" w:pos="20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Credit FV AUM represents loans made to our investment funds by our diversified credit fund.</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186" w:lineRule="auto"/>
        <w:tabs>
          <w:tab w:leader="none" w:pos="20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FV AUM represents undeployed capital held in our diversified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8"/>
          </w:cols>
          <w:pgMar w:left="292" w:top="989" w:right="299" w:bottom="1440" w:gutter="0" w:footer="0" w:header="0"/>
        </w:sectPr>
      </w:pPr>
    </w:p>
    <w:bookmarkStart w:id="12" w:name="page13"/>
    <w:bookmarkEnd w:id="12"/>
    <w:p>
      <w:pPr>
        <w:ind w:left="8"/>
        <w:spacing w:after="0"/>
        <w:rPr>
          <w:sz w:val="20"/>
          <w:szCs w:val="20"/>
          <w:color w:val="auto"/>
        </w:rPr>
      </w:pPr>
      <w:r>
        <w:rPr>
          <w:rFonts w:ascii="Times New Roman" w:cs="Times New Roman" w:eastAsia="Times New Roman" w:hAnsi="Times New Roman"/>
          <w:sz w:val="12"/>
          <w:szCs w:val="12"/>
          <w:b w:val="1"/>
          <w:bCs w:val="1"/>
          <w:color w:val="auto"/>
        </w:rPr>
        <w:t>MANAGED CAPITAL</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2025</w:t>
            </w:r>
          </w:p>
        </w:tc>
        <w:tc>
          <w:tcPr>
            <w:tcW w:w="1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517,186</w:t>
            </w:r>
          </w:p>
        </w:tc>
        <w:tc>
          <w:tcPr>
            <w:tcW w:w="0" w:type="dxa"/>
            <w:vAlign w:val="bottom"/>
          </w:tcPr>
          <w:p>
            <w:pPr>
              <w:spacing w:after="0"/>
              <w:rPr>
                <w:sz w:val="1"/>
                <w:szCs w:val="1"/>
                <w:color w:val="auto"/>
              </w:rPr>
            </w:pPr>
          </w:p>
        </w:tc>
      </w:tr>
      <w:tr>
        <w:trPr>
          <w:trHeight w:val="153"/>
        </w:trPr>
        <w:tc>
          <w:tcPr>
            <w:tcW w:w="6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Originations</w:t>
            </w:r>
          </w:p>
        </w:tc>
        <w:tc>
          <w:tcPr>
            <w:tcW w:w="1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10,478</w:t>
            </w:r>
          </w:p>
        </w:tc>
        <w:tc>
          <w:tcPr>
            <w:tcW w:w="0" w:type="dxa"/>
            <w:vAlign w:val="bottom"/>
          </w:tcPr>
          <w:p>
            <w:pPr>
              <w:spacing w:after="0"/>
              <w:rPr>
                <w:sz w:val="1"/>
                <w:szCs w:val="1"/>
                <w:color w:val="auto"/>
              </w:rPr>
            </w:pPr>
          </w:p>
        </w:tc>
      </w:tr>
      <w:tr>
        <w:trPr>
          <w:trHeight w:val="149"/>
        </w:trPr>
        <w:tc>
          <w:tcPr>
            <w:tcW w:w="6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Return of capital</w:t>
            </w:r>
          </w:p>
        </w:tc>
        <w:tc>
          <w:tcPr>
            <w:tcW w:w="1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0" w:type="dxa"/>
            <w:vAlign w:val="bottom"/>
          </w:tcPr>
          <w:p>
            <w:pPr>
              <w:spacing w:after="0"/>
              <w:rPr>
                <w:sz w:val="1"/>
                <w:szCs w:val="1"/>
                <w:color w:val="auto"/>
              </w:rPr>
            </w:pPr>
          </w:p>
        </w:tc>
      </w:tr>
      <w:tr>
        <w:trPr>
          <w:trHeight w:val="158"/>
        </w:trPr>
        <w:tc>
          <w:tcPr>
            <w:tcW w:w="6540" w:type="dxa"/>
            <w:vAlign w:val="bottom"/>
          </w:tcPr>
          <w:p>
            <w:pPr>
              <w:ind w:left="120"/>
              <w:spacing w:after="0" w:line="159" w:lineRule="exact"/>
              <w:rPr>
                <w:sz w:val="20"/>
                <w:szCs w:val="20"/>
                <w:color w:val="auto"/>
              </w:rPr>
            </w:pPr>
            <w:r>
              <w:rPr>
                <w:rFonts w:ascii="Times New Roman" w:cs="Times New Roman" w:eastAsia="Times New Roman" w:hAnsi="Times New Roman"/>
                <w:sz w:val="12"/>
                <w:szCs w:val="12"/>
                <w:color w:val="auto"/>
              </w:rPr>
              <w:t xml:space="preserve">Investment write-offs </w:t>
            </w:r>
            <w:r>
              <w:rPr>
                <w:rFonts w:ascii="Times New Roman" w:cs="Times New Roman" w:eastAsia="Times New Roman" w:hAnsi="Times New Roman"/>
                <w:sz w:val="15"/>
                <w:szCs w:val="15"/>
                <w:color w:val="auto"/>
                <w:vertAlign w:val="superscript"/>
              </w:rPr>
              <w:t>(1)</w:t>
            </w:r>
          </w:p>
        </w:tc>
        <w:tc>
          <w:tcPr>
            <w:tcW w:w="1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(37,764)</w:t>
            </w:r>
          </w:p>
        </w:tc>
        <w:tc>
          <w:tcPr>
            <w:tcW w:w="0" w:type="dxa"/>
            <w:vAlign w:val="bottom"/>
          </w:tcPr>
          <w:p>
            <w:pPr>
              <w:spacing w:after="0"/>
              <w:rPr>
                <w:sz w:val="1"/>
                <w:szCs w:val="1"/>
                <w:color w:val="auto"/>
              </w:rPr>
            </w:pPr>
          </w:p>
        </w:tc>
      </w:tr>
      <w:tr>
        <w:trPr>
          <w:trHeight w:val="144"/>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March 31, 2026</w:t>
            </w:r>
          </w:p>
        </w:tc>
        <w:tc>
          <w:tcPr>
            <w:tcW w:w="1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489,584</w:t>
            </w:r>
          </w:p>
        </w:tc>
        <w:tc>
          <w:tcPr>
            <w:tcW w:w="0" w:type="dxa"/>
            <w:vAlign w:val="bottom"/>
          </w:tcPr>
          <w:p>
            <w:pPr>
              <w:spacing w:after="0"/>
              <w:rPr>
                <w:sz w:val="1"/>
                <w:szCs w:val="1"/>
                <w:color w:val="auto"/>
              </w:rPr>
            </w:pPr>
          </w:p>
        </w:tc>
      </w:tr>
      <w:tr>
        <w:trPr>
          <w:trHeight w:val="493"/>
        </w:trPr>
        <w:tc>
          <w:tcPr>
            <w:tcW w:w="65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Real Estate</w:t>
            </w:r>
          </w:p>
        </w:tc>
        <w:tc>
          <w:tcPr>
            <w:tcW w:w="17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1"/>
        </w:trPr>
        <w:tc>
          <w:tcPr>
            <w:tcW w:w="654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Hospitality</w:t>
            </w:r>
          </w:p>
        </w:tc>
        <w:tc>
          <w:tcPr>
            <w:tcW w:w="1700" w:type="dxa"/>
            <w:vAlign w:val="bottom"/>
          </w:tcPr>
          <w:p>
            <w:pPr>
              <w:jc w:val="right"/>
              <w:ind w:right="15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49,289</w:t>
            </w:r>
          </w:p>
        </w:tc>
        <w:tc>
          <w:tcPr>
            <w:tcW w:w="14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49,289</w:t>
            </w:r>
          </w:p>
        </w:tc>
        <w:tc>
          <w:tcPr>
            <w:tcW w:w="0" w:type="dxa"/>
            <w:vAlign w:val="bottom"/>
          </w:tcPr>
          <w:p>
            <w:pPr>
              <w:spacing w:after="0"/>
              <w:rPr>
                <w:sz w:val="1"/>
                <w:szCs w:val="1"/>
                <w:color w:val="auto"/>
              </w:rPr>
            </w:pPr>
          </w:p>
        </w:tc>
      </w:tr>
      <w:tr>
        <w:trPr>
          <w:trHeight w:val="157"/>
        </w:trPr>
        <w:tc>
          <w:tcPr>
            <w:tcW w:w="6540" w:type="dxa"/>
            <w:vAlign w:val="bottom"/>
          </w:tcPr>
          <w:p>
            <w:pPr>
              <w:ind w:left="220"/>
              <w:spacing w:after="0" w:line="156" w:lineRule="exact"/>
              <w:rPr>
                <w:sz w:val="20"/>
                <w:szCs w:val="20"/>
                <w:color w:val="auto"/>
              </w:rPr>
            </w:pPr>
            <w:r>
              <w:rPr>
                <w:rFonts w:ascii="Times New Roman" w:cs="Times New Roman" w:eastAsia="Times New Roman" w:hAnsi="Times New Roman"/>
                <w:sz w:val="12"/>
                <w:szCs w:val="12"/>
                <w:color w:val="auto"/>
              </w:rPr>
              <w:t>Caliber Hospitality Trust</w:t>
            </w:r>
            <w:r>
              <w:rPr>
                <w:rFonts w:ascii="Times New Roman" w:cs="Times New Roman" w:eastAsia="Times New Roman" w:hAnsi="Times New Roman"/>
                <w:sz w:val="15"/>
                <w:szCs w:val="15"/>
                <w:color w:val="auto"/>
                <w:vertAlign w:val="superscript"/>
              </w:rPr>
              <w:t>(2)</w:t>
            </w:r>
          </w:p>
        </w:tc>
        <w:tc>
          <w:tcPr>
            <w:tcW w:w="17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97,031</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97,037</w:t>
            </w:r>
          </w:p>
        </w:tc>
        <w:tc>
          <w:tcPr>
            <w:tcW w:w="0" w:type="dxa"/>
            <w:vAlign w:val="bottom"/>
          </w:tcPr>
          <w:p>
            <w:pPr>
              <w:spacing w:after="0"/>
              <w:rPr>
                <w:sz w:val="1"/>
                <w:szCs w:val="1"/>
                <w:color w:val="auto"/>
              </w:rPr>
            </w:pPr>
          </w:p>
        </w:tc>
      </w:tr>
      <w:tr>
        <w:trPr>
          <w:trHeight w:val="153"/>
        </w:trPr>
        <w:tc>
          <w:tcPr>
            <w:tcW w:w="65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Residential</w:t>
            </w:r>
          </w:p>
        </w:tc>
        <w:tc>
          <w:tcPr>
            <w:tcW w:w="17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106,825</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103,961</w:t>
            </w:r>
          </w:p>
        </w:tc>
        <w:tc>
          <w:tcPr>
            <w:tcW w:w="0" w:type="dxa"/>
            <w:vAlign w:val="bottom"/>
          </w:tcPr>
          <w:p>
            <w:pPr>
              <w:spacing w:after="0"/>
              <w:rPr>
                <w:sz w:val="1"/>
                <w:szCs w:val="1"/>
                <w:color w:val="auto"/>
              </w:rPr>
            </w:pPr>
          </w:p>
        </w:tc>
      </w:tr>
      <w:tr>
        <w:trPr>
          <w:trHeight w:val="155"/>
        </w:trPr>
        <w:tc>
          <w:tcPr>
            <w:tcW w:w="65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Commercial</w:t>
            </w:r>
          </w:p>
        </w:tc>
        <w:tc>
          <w:tcPr>
            <w:tcW w:w="17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182,687</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180,569</w:t>
            </w:r>
          </w:p>
        </w:tc>
        <w:tc>
          <w:tcPr>
            <w:tcW w:w="0" w:type="dxa"/>
            <w:vAlign w:val="bottom"/>
          </w:tcPr>
          <w:p>
            <w:pPr>
              <w:spacing w:after="0"/>
              <w:rPr>
                <w:sz w:val="1"/>
                <w:szCs w:val="1"/>
                <w:color w:val="auto"/>
              </w:rPr>
            </w:pPr>
          </w:p>
        </w:tc>
      </w:tr>
      <w:tr>
        <w:trPr>
          <w:trHeight w:val="137"/>
        </w:trPr>
        <w:tc>
          <w:tcPr>
            <w:tcW w:w="6540" w:type="dxa"/>
            <w:vAlign w:val="bottom"/>
          </w:tcPr>
          <w:p>
            <w:pPr>
              <w:ind w:left="320"/>
              <w:spacing w:after="0" w:line="136" w:lineRule="exact"/>
              <w:rPr>
                <w:sz w:val="20"/>
                <w:szCs w:val="20"/>
                <w:color w:val="auto"/>
              </w:rPr>
            </w:pPr>
            <w:r>
              <w:rPr>
                <w:rFonts w:ascii="Times New Roman" w:cs="Times New Roman" w:eastAsia="Times New Roman" w:hAnsi="Times New Roman"/>
                <w:sz w:val="12"/>
                <w:szCs w:val="12"/>
                <w:color w:val="auto"/>
              </w:rPr>
              <w:t>Total Real Estate</w:t>
            </w:r>
            <w:r>
              <w:rPr>
                <w:rFonts w:ascii="Times New Roman" w:cs="Times New Roman" w:eastAsia="Times New Roman" w:hAnsi="Times New Roman"/>
                <w:sz w:val="15"/>
                <w:szCs w:val="15"/>
                <w:color w:val="auto"/>
                <w:vertAlign w:val="superscript"/>
              </w:rPr>
              <w:t>(3)</w:t>
            </w:r>
          </w:p>
        </w:tc>
        <w:tc>
          <w:tcPr>
            <w:tcW w:w="170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435,832</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430,856</w:t>
            </w:r>
          </w:p>
        </w:tc>
        <w:tc>
          <w:tcPr>
            <w:tcW w:w="0" w:type="dxa"/>
            <w:vAlign w:val="bottom"/>
          </w:tcPr>
          <w:p>
            <w:pPr>
              <w:spacing w:after="0"/>
              <w:rPr>
                <w:sz w:val="1"/>
                <w:szCs w:val="1"/>
                <w:color w:val="auto"/>
              </w:rPr>
            </w:pPr>
          </w:p>
        </w:tc>
      </w:tr>
      <w:tr>
        <w:trPr>
          <w:trHeight w:val="153"/>
        </w:trPr>
        <w:tc>
          <w:tcPr>
            <w:tcW w:w="6540" w:type="dxa"/>
            <w:vAlign w:val="bottom"/>
          </w:tcPr>
          <w:p>
            <w:pPr>
              <w:ind w:left="120"/>
              <w:spacing w:after="0" w:line="153" w:lineRule="exact"/>
              <w:rPr>
                <w:sz w:val="20"/>
                <w:szCs w:val="20"/>
                <w:color w:val="auto"/>
              </w:rPr>
            </w:pPr>
            <w:r>
              <w:rPr>
                <w:rFonts w:ascii="Times New Roman" w:cs="Times New Roman" w:eastAsia="Times New Roman" w:hAnsi="Times New Roman"/>
                <w:sz w:val="12"/>
                <w:szCs w:val="12"/>
                <w:color w:val="auto"/>
              </w:rPr>
              <w:t>Credit</w:t>
            </w:r>
            <w:r>
              <w:rPr>
                <w:rFonts w:ascii="Times New Roman" w:cs="Times New Roman" w:eastAsia="Times New Roman" w:hAnsi="Times New Roman"/>
                <w:sz w:val="15"/>
                <w:szCs w:val="15"/>
                <w:color w:val="auto"/>
                <w:vertAlign w:val="superscript"/>
              </w:rPr>
              <w:t>(4)</w:t>
            </w:r>
          </w:p>
        </w:tc>
        <w:tc>
          <w:tcPr>
            <w:tcW w:w="17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52,760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82,163</w:t>
            </w:r>
          </w:p>
        </w:tc>
        <w:tc>
          <w:tcPr>
            <w:tcW w:w="0" w:type="dxa"/>
            <w:vAlign w:val="bottom"/>
          </w:tcPr>
          <w:p>
            <w:pPr>
              <w:spacing w:after="0"/>
              <w:rPr>
                <w:sz w:val="1"/>
                <w:szCs w:val="1"/>
                <w:color w:val="auto"/>
              </w:rPr>
            </w:pPr>
          </w:p>
        </w:tc>
      </w:tr>
      <w:tr>
        <w:trPr>
          <w:trHeight w:val="158"/>
        </w:trPr>
        <w:tc>
          <w:tcPr>
            <w:tcW w:w="6540" w:type="dxa"/>
            <w:vAlign w:val="bottom"/>
          </w:tcPr>
          <w:p>
            <w:pPr>
              <w:ind w:left="120"/>
              <w:spacing w:after="0" w:line="159"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(5)</w:t>
            </w:r>
          </w:p>
        </w:tc>
        <w:tc>
          <w:tcPr>
            <w:tcW w:w="17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700" w:type="dxa"/>
            <w:vAlign w:val="bottom"/>
            <w:tcBorders>
              <w:bottom w:val="single" w:sz="8" w:color="auto"/>
            </w:tcBorders>
          </w:tcPr>
          <w:p>
            <w:pPr>
              <w:jc w:val="right"/>
              <w:ind w:right="158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489,584</w:t>
            </w:r>
          </w:p>
        </w:tc>
        <w:tc>
          <w:tcPr>
            <w:tcW w:w="14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517,186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_________________________________________</w:t>
      </w:r>
    </w:p>
    <w:p>
      <w:pPr>
        <w:spacing w:after="0" w:line="10" w:lineRule="exact"/>
        <w:rPr>
          <w:sz w:val="20"/>
          <w:szCs w:val="20"/>
          <w:color w:val="auto"/>
        </w:rPr>
      </w:pPr>
    </w:p>
    <w:p>
      <w:pPr>
        <w:ind w:left="108" w:hanging="108"/>
        <w:spacing w:after="0"/>
        <w:tabs>
          <w:tab w:leader="none" w:pos="108"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Decrease driven by the sale of assets by our investment funds, as well as the recording of an impairment reserve related to an investment held by one of our diversified funds while recoverability is being evaluated.</w:t>
      </w:r>
    </w:p>
    <w:p>
      <w:pPr>
        <w:spacing w:after="0" w:line="2" w:lineRule="exact"/>
        <w:rPr>
          <w:rFonts w:ascii="Times New Roman" w:cs="Times New Roman" w:eastAsia="Times New Roman" w:hAnsi="Times New Roman"/>
          <w:sz w:val="13"/>
          <w:szCs w:val="13"/>
          <w:color w:val="auto"/>
          <w:vertAlign w:val="superscript"/>
        </w:rPr>
      </w:pPr>
    </w:p>
    <w:p>
      <w:pPr>
        <w:ind w:left="128" w:hanging="128"/>
        <w:spacing w:after="0" w:line="186" w:lineRule="auto"/>
        <w:tabs>
          <w:tab w:leader="none" w:pos="12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 earns a fund management fee of 0.70% of the Caliber Hospitality Trust’s enterprise value and is reimbursed for certain costs incurred on behalf of the Caliber Hospitality Trust.</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260" w:lineRule="auto"/>
        <w:tabs>
          <w:tab w:leader="none" w:pos="102"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Beginning during the year ended December 31, 2023, the Company includes capital raised from investors in CaliberCos Inc. through corporate note issuances that was further invested in our funds in Managed Capital. At each of March 31, 2026 and December 31, 2025, the Company had invested $11.6 million in our funds.</w:t>
      </w:r>
    </w:p>
    <w:p>
      <w:pPr>
        <w:ind w:left="108" w:hanging="108"/>
        <w:spacing w:after="0" w:line="231" w:lineRule="auto"/>
        <w:tabs>
          <w:tab w:leader="none" w:pos="108"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Credit managed capital represents loans made to Caliber’s investment funds by the Company and our diversified funds. At each of March 31, 2026 and December 31, 2025, the Company had loaned $8.5 million to our funds.</w:t>
      </w:r>
    </w:p>
    <w:p>
      <w:pPr>
        <w:spacing w:after="0" w:line="1" w:lineRule="exact"/>
        <w:rPr>
          <w:rFonts w:ascii="Times New Roman" w:cs="Times New Roman" w:eastAsia="Times New Roman" w:hAnsi="Times New Roman"/>
          <w:sz w:val="13"/>
          <w:szCs w:val="13"/>
          <w:color w:val="auto"/>
          <w:vertAlign w:val="superscript"/>
        </w:rPr>
      </w:pPr>
    </w:p>
    <w:p>
      <w:pPr>
        <w:ind w:left="128" w:hanging="128"/>
        <w:spacing w:after="0" w:line="186" w:lineRule="auto"/>
        <w:tabs>
          <w:tab w:leader="none" w:pos="12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managed capital represents unemployed capital held in our diversified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8"/>
          </w:cols>
          <w:pgMar w:left="292" w:top="989"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Consolidated GAAP Results</w:t>
      </w:r>
    </w:p>
    <w:p>
      <w:pPr>
        <w:spacing w:after="0" w:line="1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The following information presents our consolidated GAAP results which includes the performance of certain entities we manage where Caliber is the guarantor of debt owed by those entities, despite not having significant equity at risk. As a result of these guarantor commitments, Caliber is required under GAAP to include the assets, liabilities, revenues and expenses of those entities even though a shareholder of CWD stock is neither entitled to nor exposed by those entities’ benefits or obligations. This accounting outcome also removes revenues that we earn from those entities, which a shareholder of CWD stock would be entitled to. See discussion elsewhere related to CWD’s Platform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989" w:right="29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CALIBERCOS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148"/>
        </w:trPr>
        <w:tc>
          <w:tcPr>
            <w:tcW w:w="7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080" w:type="dxa"/>
            <w:vAlign w:val="bottom"/>
          </w:tcPr>
          <w:p>
            <w:pPr>
              <w:spacing w:after="0"/>
              <w:rPr>
                <w:sz w:val="12"/>
                <w:szCs w:val="12"/>
                <w:color w:val="auto"/>
              </w:rPr>
            </w:pPr>
          </w:p>
        </w:tc>
        <w:tc>
          <w:tcPr>
            <w:tcW w:w="1720" w:type="dxa"/>
            <w:vAlign w:val="bottom"/>
            <w:gridSpan w:val="3"/>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34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Asset management revenues</w:t>
            </w:r>
          </w:p>
        </w:tc>
        <w:tc>
          <w:tcPr>
            <w:tcW w:w="1080" w:type="dxa"/>
            <w:vAlign w:val="bottom"/>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3,664</w:t>
            </w:r>
          </w:p>
        </w:tc>
        <w:tc>
          <w:tcPr>
            <w:tcW w:w="120" w:type="dxa"/>
            <w:vAlign w:val="bottom"/>
          </w:tcPr>
          <w:p>
            <w:pPr>
              <w:spacing w:after="0"/>
              <w:rPr>
                <w:sz w:val="13"/>
                <w:szCs w:val="13"/>
                <w:color w:val="auto"/>
              </w:rPr>
            </w:pP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3,196</w:t>
            </w:r>
          </w:p>
        </w:tc>
        <w:tc>
          <w:tcPr>
            <w:tcW w:w="0" w:type="dxa"/>
            <w:vAlign w:val="bottom"/>
          </w:tcPr>
          <w:p>
            <w:pPr>
              <w:spacing w:after="0"/>
              <w:rPr>
                <w:sz w:val="1"/>
                <w:szCs w:val="1"/>
                <w:color w:val="auto"/>
              </w:rPr>
            </w:pPr>
          </w:p>
        </w:tc>
      </w:tr>
      <w:tr>
        <w:trPr>
          <w:trHeight w:val="153"/>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Performance allocations</w:t>
            </w:r>
          </w:p>
        </w:tc>
        <w:tc>
          <w:tcPr>
            <w:tcW w:w="1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3"/>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Consolidated funds – hospitality revenues</w:t>
            </w:r>
          </w:p>
        </w:tc>
        <w:tc>
          <w:tcPr>
            <w:tcW w:w="10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3,919</w:t>
            </w:r>
          </w:p>
        </w:tc>
        <w:tc>
          <w:tcPr>
            <w:tcW w:w="0" w:type="dxa"/>
            <w:vAlign w:val="bottom"/>
          </w:tcPr>
          <w:p>
            <w:pPr>
              <w:spacing w:after="0"/>
              <w:rPr>
                <w:sz w:val="1"/>
                <w:szCs w:val="1"/>
                <w:color w:val="auto"/>
              </w:rPr>
            </w:pPr>
          </w:p>
        </w:tc>
      </w:tr>
      <w:tr>
        <w:trPr>
          <w:trHeight w:val="155"/>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Consolidated funds – other revenues</w:t>
            </w:r>
          </w:p>
        </w:tc>
        <w:tc>
          <w:tcPr>
            <w:tcW w:w="10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0" w:type="dxa"/>
            <w:vAlign w:val="bottom"/>
          </w:tcPr>
          <w:p>
            <w:pPr>
              <w:spacing w:after="0"/>
              <w:rPr>
                <w:sz w:val="1"/>
                <w:szCs w:val="1"/>
                <w:color w:val="auto"/>
              </w:rPr>
            </w:pPr>
          </w:p>
        </w:tc>
      </w:tr>
      <w:tr>
        <w:trPr>
          <w:trHeight w:val="142"/>
        </w:trPr>
        <w:tc>
          <w:tcPr>
            <w:tcW w:w="73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Total revenues</w:t>
            </w:r>
          </w:p>
        </w:tc>
        <w:tc>
          <w:tcPr>
            <w:tcW w:w="10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4,294</w:t>
            </w:r>
          </w:p>
        </w:tc>
        <w:tc>
          <w:tcPr>
            <w:tcW w:w="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7,261</w:t>
            </w:r>
          </w:p>
        </w:tc>
        <w:tc>
          <w:tcPr>
            <w:tcW w:w="0" w:type="dxa"/>
            <w:vAlign w:val="bottom"/>
          </w:tcPr>
          <w:p>
            <w:pPr>
              <w:spacing w:after="0"/>
              <w:rPr>
                <w:sz w:val="1"/>
                <w:szCs w:val="1"/>
                <w:color w:val="auto"/>
              </w:rPr>
            </w:pPr>
          </w:p>
        </w:tc>
      </w:tr>
      <w:tr>
        <w:trPr>
          <w:trHeight w:val="30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costs</w:t>
            </w:r>
          </w:p>
        </w:tc>
        <w:tc>
          <w:tcPr>
            <w:tcW w:w="1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3,088</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4,044</w:t>
            </w:r>
          </w:p>
        </w:tc>
        <w:tc>
          <w:tcPr>
            <w:tcW w:w="0" w:type="dxa"/>
            <w:vAlign w:val="bottom"/>
          </w:tcPr>
          <w:p>
            <w:pPr>
              <w:spacing w:after="0"/>
              <w:rPr>
                <w:sz w:val="1"/>
                <w:szCs w:val="1"/>
                <w:color w:val="auto"/>
              </w:rPr>
            </w:pPr>
          </w:p>
        </w:tc>
      </w:tr>
      <w:tr>
        <w:trPr>
          <w:trHeight w:val="153"/>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1,801</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w:t>
            </w:r>
          </w:p>
        </w:tc>
        <w:tc>
          <w:tcPr>
            <w:tcW w:w="0" w:type="dxa"/>
            <w:vAlign w:val="bottom"/>
          </w:tcPr>
          <w:p>
            <w:pPr>
              <w:spacing w:after="0"/>
              <w:rPr>
                <w:sz w:val="1"/>
                <w:szCs w:val="1"/>
                <w:color w:val="auto"/>
              </w:rPr>
            </w:pPr>
          </w:p>
        </w:tc>
      </w:tr>
      <w:tr>
        <w:trPr>
          <w:trHeight w:val="153"/>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Marketing and advertising</w:t>
            </w:r>
          </w:p>
        </w:tc>
        <w:tc>
          <w:tcPr>
            <w:tcW w:w="1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0" w:type="dxa"/>
            <w:vAlign w:val="bottom"/>
          </w:tcPr>
          <w:p>
            <w:pPr>
              <w:spacing w:after="0"/>
              <w:rPr>
                <w:sz w:val="1"/>
                <w:szCs w:val="1"/>
                <w:color w:val="auto"/>
              </w:rPr>
            </w:pPr>
          </w:p>
        </w:tc>
      </w:tr>
      <w:tr>
        <w:trPr>
          <w:trHeight w:val="153"/>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0" w:type="dxa"/>
            <w:vAlign w:val="bottom"/>
          </w:tcPr>
          <w:p>
            <w:pPr>
              <w:spacing w:after="0"/>
              <w:rPr>
                <w:sz w:val="1"/>
                <w:szCs w:val="1"/>
                <w:color w:val="auto"/>
              </w:rPr>
            </w:pPr>
          </w:p>
        </w:tc>
      </w:tr>
      <w:tr>
        <w:trPr>
          <w:trHeight w:val="153"/>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Consolidated funds – hospitality expenses</w:t>
            </w:r>
          </w:p>
        </w:tc>
        <w:tc>
          <w:tcPr>
            <w:tcW w:w="10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3,465</w:t>
            </w:r>
          </w:p>
        </w:tc>
        <w:tc>
          <w:tcPr>
            <w:tcW w:w="0" w:type="dxa"/>
            <w:vAlign w:val="bottom"/>
          </w:tcPr>
          <w:p>
            <w:pPr>
              <w:spacing w:after="0"/>
              <w:rPr>
                <w:sz w:val="1"/>
                <w:szCs w:val="1"/>
                <w:color w:val="auto"/>
              </w:rPr>
            </w:pPr>
          </w:p>
        </w:tc>
      </w:tr>
      <w:tr>
        <w:trPr>
          <w:trHeight w:val="155"/>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Consolidated funds – other expenses</w:t>
            </w:r>
          </w:p>
        </w:tc>
        <w:tc>
          <w:tcPr>
            <w:tcW w:w="10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1,797</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0" w:type="dxa"/>
            <w:vAlign w:val="bottom"/>
          </w:tcPr>
          <w:p>
            <w:pPr>
              <w:spacing w:after="0"/>
              <w:rPr>
                <w:sz w:val="1"/>
                <w:szCs w:val="1"/>
                <w:color w:val="auto"/>
              </w:rPr>
            </w:pPr>
          </w:p>
        </w:tc>
      </w:tr>
      <w:tr>
        <w:trPr>
          <w:trHeight w:val="142"/>
        </w:trPr>
        <w:tc>
          <w:tcPr>
            <w:tcW w:w="73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Total expenses</w:t>
            </w:r>
          </w:p>
        </w:tc>
        <w:tc>
          <w:tcPr>
            <w:tcW w:w="10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7,039</w:t>
            </w:r>
          </w:p>
        </w:tc>
        <w:tc>
          <w:tcPr>
            <w:tcW w:w="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9,870</w:t>
            </w:r>
          </w:p>
        </w:tc>
        <w:tc>
          <w:tcPr>
            <w:tcW w:w="0" w:type="dxa"/>
            <w:vAlign w:val="bottom"/>
          </w:tcPr>
          <w:p>
            <w:pPr>
              <w:spacing w:after="0"/>
              <w:rPr>
                <w:sz w:val="1"/>
                <w:szCs w:val="1"/>
                <w:color w:val="auto"/>
              </w:rPr>
            </w:pPr>
          </w:p>
        </w:tc>
      </w:tr>
      <w:tr>
        <w:trPr>
          <w:trHeight w:val="302"/>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Other (loss) income, net</w:t>
            </w:r>
          </w:p>
        </w:tc>
        <w:tc>
          <w:tcPr>
            <w:tcW w:w="10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0" w:type="dxa"/>
            <w:vAlign w:val="bottom"/>
          </w:tcPr>
          <w:p>
            <w:pPr>
              <w:spacing w:after="0"/>
              <w:rPr>
                <w:sz w:val="1"/>
                <w:szCs w:val="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Unrealized loss on digital assets</w:t>
            </w:r>
          </w:p>
        </w:tc>
        <w:tc>
          <w:tcPr>
            <w:tcW w:w="1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(1,896)</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0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55"/>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0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(1,611)</w:t>
            </w:r>
          </w:p>
        </w:tc>
        <w:tc>
          <w:tcPr>
            <w:tcW w:w="0" w:type="dxa"/>
            <w:vAlign w:val="bottom"/>
          </w:tcPr>
          <w:p>
            <w:pPr>
              <w:spacing w:after="0"/>
              <w:rPr>
                <w:sz w:val="1"/>
                <w:szCs w:val="1"/>
                <w:color w:val="auto"/>
              </w:rPr>
            </w:pPr>
          </w:p>
        </w:tc>
      </w:tr>
      <w:tr>
        <w:trPr>
          <w:trHeight w:val="140"/>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0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(4,554)</w:t>
            </w:r>
          </w:p>
        </w:tc>
        <w:tc>
          <w:tcPr>
            <w:tcW w:w="0" w:type="dxa"/>
            <w:vAlign w:val="bottom"/>
          </w:tcPr>
          <w:p>
            <w:pPr>
              <w:spacing w:after="0"/>
              <w:rPr>
                <w:sz w:val="1"/>
                <w:szCs w:val="1"/>
                <w:color w:val="auto"/>
              </w:rPr>
            </w:pPr>
          </w:p>
        </w:tc>
      </w:tr>
      <w:tr>
        <w:trPr>
          <w:trHeight w:val="155"/>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Benefit from income taxes</w:t>
            </w:r>
          </w:p>
        </w:tc>
        <w:tc>
          <w:tcPr>
            <w:tcW w:w="10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0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(5,931)</w:t>
            </w: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(4,554)</w:t>
            </w:r>
          </w:p>
        </w:tc>
        <w:tc>
          <w:tcPr>
            <w:tcW w:w="0" w:type="dxa"/>
            <w:vAlign w:val="bottom"/>
          </w:tcPr>
          <w:p>
            <w:pPr>
              <w:spacing w:after="0"/>
              <w:rPr>
                <w:sz w:val="1"/>
                <w:szCs w:val="1"/>
                <w:color w:val="auto"/>
              </w:rPr>
            </w:pPr>
          </w:p>
        </w:tc>
      </w:tr>
      <w:tr>
        <w:trPr>
          <w:trHeight w:val="155"/>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10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080" w:type="dxa"/>
            <w:vAlign w:val="bottom"/>
            <w:tcBorders>
              <w:bottom w:val="single" w:sz="8" w:color="auto"/>
            </w:tcBorders>
          </w:tcPr>
          <w:p>
            <w:pPr>
              <w:jc w:val="right"/>
              <w:ind w:right="9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(3,619)</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(4,407)</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Basic and diluted net loss per share attributable to common stockholders</w:t>
            </w: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340" w:type="dxa"/>
            <w:vAlign w:val="bottom"/>
            <w:vMerge w:val="continue"/>
          </w:tcPr>
          <w:p>
            <w:pPr>
              <w:spacing w:after="0"/>
              <w:rPr>
                <w:sz w:val="9"/>
                <w:szCs w:val="9"/>
                <w:color w:val="auto"/>
              </w:rPr>
            </w:pPr>
          </w:p>
        </w:tc>
        <w:tc>
          <w:tcPr>
            <w:tcW w:w="1080" w:type="dxa"/>
            <w:vAlign w:val="bottom"/>
            <w:tcBorders>
              <w:bottom w:val="single" w:sz="8" w:color="auto"/>
            </w:tcBorders>
          </w:tcPr>
          <w:p>
            <w:pPr>
              <w:jc w:val="right"/>
              <w:ind w:right="965"/>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(0.52)</w:t>
            </w:r>
          </w:p>
        </w:tc>
        <w:tc>
          <w:tcPr>
            <w:tcW w:w="120" w:type="dxa"/>
            <w:vAlign w:val="bottom"/>
          </w:tcPr>
          <w:p>
            <w:pPr>
              <w:spacing w:after="0"/>
              <w:rPr>
                <w:sz w:val="9"/>
                <w:szCs w:val="9"/>
                <w:color w:val="auto"/>
              </w:rPr>
            </w:pPr>
          </w:p>
        </w:tc>
        <w:tc>
          <w:tcPr>
            <w:tcW w:w="800" w:type="dxa"/>
            <w:vAlign w:val="bottom"/>
            <w:tcBorders>
              <w:bottom w:val="single" w:sz="8" w:color="auto"/>
            </w:tcBorders>
          </w:tcPr>
          <w:p>
            <w:pPr>
              <w:jc w:val="right"/>
              <w:ind w:right="660"/>
              <w:spacing w:after="0" w:line="111"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(3.85)</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7,000</w:t>
            </w: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1,146</w:t>
            </w:r>
          </w:p>
        </w:tc>
        <w:tc>
          <w:tcPr>
            <w:tcW w:w="0" w:type="dxa"/>
            <w:vAlign w:val="bottom"/>
          </w:tcPr>
          <w:p>
            <w:pPr>
              <w:spacing w:after="0"/>
              <w:rPr>
                <w:sz w:val="1"/>
                <w:szCs w:val="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10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20"/>
          </w:cols>
          <w:pgMar w:left="340" w:top="989" w:right="339" w:bottom="1440" w:gutter="0" w:footer="0" w:header="0"/>
        </w:sectPr>
      </w:pPr>
    </w:p>
    <w:bookmarkStart w:id="15" w:name="page16"/>
    <w:bookmarkEnd w:id="15"/>
    <w:p>
      <w:pPr>
        <w:ind w:left="4740"/>
        <w:spacing w:after="0"/>
        <w:rPr>
          <w:sz w:val="20"/>
          <w:szCs w:val="20"/>
          <w:color w:val="auto"/>
        </w:rPr>
      </w:pPr>
      <w:r>
        <w:rPr>
          <w:rFonts w:ascii="Times New Roman" w:cs="Times New Roman" w:eastAsia="Times New Roman" w:hAnsi="Times New Roman"/>
          <w:sz w:val="12"/>
          <w:szCs w:val="12"/>
          <w:b w:val="1"/>
          <w:bCs w:val="1"/>
          <w:color w:val="auto"/>
        </w:rPr>
        <w:t>CALIBERCOS INC. AND SUBSIDIARIES</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(AMOUNTS IN THOUSANDS, EXCEPT FOR SHARE AND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60" w:type="dxa"/>
            <w:vAlign w:val="bottom"/>
          </w:tcPr>
          <w:p>
            <w:pPr>
              <w:spacing w:after="0"/>
              <w:rPr>
                <w:sz w:val="13"/>
                <w:szCs w:val="13"/>
                <w:color w:val="auto"/>
              </w:rPr>
            </w:pPr>
          </w:p>
        </w:tc>
        <w:tc>
          <w:tcPr>
            <w:tcW w:w="1560" w:type="dxa"/>
            <w:vAlign w:val="bottom"/>
            <w:tcBorders>
              <w:bottom w:val="single" w:sz="8" w:color="auto"/>
            </w:tcBorders>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48"/>
        </w:trPr>
        <w:tc>
          <w:tcPr>
            <w:tcW w:w="6960" w:type="dxa"/>
            <w:vAlign w:val="bottom"/>
            <w:vMerge w:val="restart"/>
          </w:tcPr>
          <w:p>
            <w:pPr>
              <w:ind w:left="33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560" w:type="dxa"/>
            <w:vAlign w:val="bottom"/>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96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Cash</w:t>
            </w:r>
          </w:p>
        </w:tc>
        <w:tc>
          <w:tcPr>
            <w:tcW w:w="1560" w:type="dxa"/>
            <w:vAlign w:val="bottom"/>
          </w:tcPr>
          <w:p>
            <w:pPr>
              <w:jc w:val="right"/>
              <w:ind w:right="142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14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2,538</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2,628</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Real estate investments, net</w:t>
            </w:r>
          </w:p>
        </w:tc>
        <w:tc>
          <w:tcPr>
            <w:tcW w:w="1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21,689</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w:t>
            </w:r>
          </w:p>
        </w:tc>
        <w:tc>
          <w:tcPr>
            <w:tcW w:w="1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6,850</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 related parties, allowance of $830 and $909, respectively</w:t>
            </w:r>
          </w:p>
        </w:tc>
        <w:tc>
          <w:tcPr>
            <w:tcW w:w="1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8,726</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7,348</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Due from related parties, net of allowance of $3,400 and $4,071, respectively</w:t>
            </w:r>
          </w:p>
        </w:tc>
        <w:tc>
          <w:tcPr>
            <w:tcW w:w="1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10,558</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10,086</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Investments in unconsolidated entities</w:t>
            </w:r>
          </w:p>
        </w:tc>
        <w:tc>
          <w:tcPr>
            <w:tcW w:w="1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11,624</w:t>
            </w: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 right of use assets</w:t>
            </w:r>
          </w:p>
        </w:tc>
        <w:tc>
          <w:tcPr>
            <w:tcW w:w="1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151"/>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Prepaid and other assets</w:t>
            </w:r>
          </w:p>
        </w:tc>
        <w:tc>
          <w:tcPr>
            <w:tcW w:w="1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2,184</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2,368</w:t>
            </w:r>
          </w:p>
        </w:tc>
        <w:tc>
          <w:tcPr>
            <w:tcW w:w="0" w:type="dxa"/>
            <w:vAlign w:val="bottom"/>
          </w:tcPr>
          <w:p>
            <w:pPr>
              <w:spacing w:after="0"/>
              <w:rPr>
                <w:sz w:val="1"/>
                <w:szCs w:val="1"/>
                <w:color w:val="auto"/>
              </w:rPr>
            </w:pPr>
          </w:p>
        </w:tc>
      </w:tr>
      <w:tr>
        <w:trPr>
          <w:trHeight w:val="157"/>
        </w:trPr>
        <w:tc>
          <w:tcPr>
            <w:tcW w:w="6960" w:type="dxa"/>
            <w:vAlign w:val="bottom"/>
          </w:tcPr>
          <w:p>
            <w:pPr>
              <w:ind w:left="360"/>
              <w:spacing w:after="0"/>
              <w:rPr>
                <w:sz w:val="20"/>
                <w:szCs w:val="20"/>
                <w:color w:val="auto"/>
              </w:rPr>
            </w:pPr>
            <w:r>
              <w:rPr>
                <w:rFonts w:ascii="Times New Roman" w:cs="Times New Roman" w:eastAsia="Times New Roman" w:hAnsi="Times New Roman"/>
                <w:sz w:val="12"/>
                <w:szCs w:val="12"/>
                <w:i w:val="1"/>
                <w:iCs w:val="1"/>
                <w:color w:val="auto"/>
              </w:rPr>
              <w:t>Assets of consolidated funds</w:t>
            </w:r>
          </w:p>
        </w:tc>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00" w:top="1106" w:right="37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Cash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Restricted cash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Real estate investments,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receivable - related parties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Due from related parties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Operating lease - right of use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and other assets</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780" w:type="dxa"/>
        <w:tblCellMar>
          <w:top w:w="0" w:type="dxa"/>
          <w:left w:w="0" w:type="dxa"/>
          <w:bottom w:w="0" w:type="dxa"/>
          <w:right w:w="0" w:type="dxa"/>
        </w:tblCellMar>
      </w:tblPr>
      <w:tr>
        <w:trPr>
          <w:trHeight w:val="151"/>
        </w:trPr>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r>
      <w:tr>
        <w:trPr>
          <w:trHeight w:val="153"/>
        </w:trPr>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1,324</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w:t>
            </w:r>
          </w:p>
        </w:tc>
      </w:tr>
      <w:tr>
        <w:trPr>
          <w:trHeight w:val="153"/>
        </w:trPr>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51,079</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10,807</w:t>
            </w:r>
          </w:p>
        </w:tc>
      </w:tr>
      <w:tr>
        <w:trPr>
          <w:trHeight w:val="153"/>
        </w:trPr>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5,991</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r>
      <w:tr>
        <w:trPr>
          <w:trHeight w:val="153"/>
        </w:trPr>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r>
      <w:tr>
        <w:trPr>
          <w:trHeight w:val="153"/>
        </w:trPr>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10,756</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10,757</w:t>
            </w:r>
          </w:p>
        </w:tc>
      </w:tr>
      <w:tr>
        <w:trPr>
          <w:trHeight w:val="155"/>
        </w:trPr>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w:t>
            </w: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w:t>
            </w:r>
          </w:p>
        </w:tc>
      </w:tr>
      <w:tr>
        <w:trPr>
          <w:trHeight w:val="142"/>
        </w:trPr>
        <w:tc>
          <w:tcPr>
            <w:tcW w:w="86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179,594</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135,396</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p>
      <w:pPr>
        <w:spacing w:after="0" w:line="21" w:lineRule="exact"/>
        <w:rPr>
          <w:sz w:val="20"/>
          <w:szCs w:val="20"/>
          <w:color w:val="auto"/>
        </w:rPr>
      </w:pPr>
    </w:p>
    <w:p>
      <w:pPr>
        <w:sectPr>
          <w:pgSz w:w="11900" w:h="16838" w:orient="portrait"/>
          <w:cols w:equalWidth="0" w:num="2">
            <w:col w:w="1700" w:space="480"/>
            <w:col w:w="9040"/>
          </w:cols>
          <w:pgMar w:left="300" w:top="1106" w:right="37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net</w:t>
            </w: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42,441</w:t>
            </w:r>
          </w:p>
        </w:tc>
        <w:tc>
          <w:tcPr>
            <w:tcW w:w="14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46,347</w:t>
            </w: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7,562</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7,325</w:t>
            </w:r>
          </w:p>
        </w:tc>
      </w:tr>
      <w:tr>
        <w:trPr>
          <w:trHeight w:val="119"/>
        </w:trPr>
        <w:tc>
          <w:tcPr>
            <w:tcW w:w="696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Series AA cumulative redeemable preferred stock, net of issuance costs, $25.00 per share stated value, 800,000 shares authorized, 301,337 and</w:t>
            </w:r>
          </w:p>
        </w:tc>
        <w:tc>
          <w:tcPr>
            <w:tcW w:w="8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60"/>
        </w:trPr>
        <w:tc>
          <w:tcPr>
            <w:tcW w:w="69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221,434 shares issued and outstanding as of March 31, 2026 and December 31, 2025, respectively</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6,983</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5,101</w:t>
            </w: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Due to related parties</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51"/>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w:t>
            </w:r>
          </w:p>
        </w:tc>
      </w:tr>
      <w:tr>
        <w:trPr>
          <w:trHeight w:val="155"/>
        </w:trPr>
        <w:tc>
          <w:tcPr>
            <w:tcW w:w="6960" w:type="dxa"/>
            <w:vAlign w:val="bottom"/>
          </w:tcPr>
          <w:p>
            <w:pPr>
              <w:ind w:left="360"/>
              <w:spacing w:after="0"/>
              <w:rPr>
                <w:sz w:val="20"/>
                <w:szCs w:val="20"/>
                <w:color w:val="auto"/>
              </w:rPr>
            </w:pPr>
            <w:r>
              <w:rPr>
                <w:rFonts w:ascii="Times New Roman" w:cs="Times New Roman" w:eastAsia="Times New Roman" w:hAnsi="Times New Roman"/>
                <w:sz w:val="12"/>
                <w:szCs w:val="12"/>
                <w:i w:val="1"/>
                <w:iCs w:val="1"/>
                <w:color w:val="auto"/>
              </w:rPr>
              <w:t>Liabilities of consolidated funds</w:t>
            </w: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net</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66,520</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33,605</w:t>
            </w: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 related parties</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2,406</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2,330</w:t>
            </w: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2,364</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w:t>
            </w: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Due to related parties</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w:t>
            </w: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10,756</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10,757</w:t>
            </w:r>
          </w:p>
        </w:tc>
      </w:tr>
      <w:tr>
        <w:trPr>
          <w:trHeight w:val="155"/>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w:t>
            </w:r>
          </w:p>
        </w:tc>
      </w:tr>
      <w:tr>
        <w:trPr>
          <w:trHeight w:val="142"/>
        </w:trPr>
        <w:tc>
          <w:tcPr>
            <w:tcW w:w="69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liabilities</w:t>
            </w:r>
          </w:p>
        </w:tc>
        <w:tc>
          <w:tcPr>
            <w:tcW w:w="8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140,879</w:t>
            </w: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109,165</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Commitments and Contingencies (Note 11)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220"/>
          </w:cols>
          <w:pgMar w:left="300" w:top="1106" w:right="379" w:bottom="1440" w:gutter="0" w:footer="0" w:header="0"/>
          <w:type w:val="continuous"/>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CALIBERCOS INC. AND SUBSIDIARIES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(AMOUNTS IN THOUSANDS, EXCEPT FOR SHARE AND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Series A non-cumulative convertible preferred stock, $0.001 par value; $22,500,000 shares authorized, and $5,875 shares issued and outstanding</w:t>
            </w:r>
          </w:p>
        </w:tc>
        <w:tc>
          <w:tcPr>
            <w:tcW w:w="15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97"/>
        </w:trPr>
        <w:tc>
          <w:tcPr>
            <w:tcW w:w="698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 of March 31, 2026 and December 31, 2025</w:t>
            </w:r>
          </w:p>
        </w:tc>
        <w:tc>
          <w:tcPr>
            <w:tcW w:w="15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698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Series B convertible preferred stock, $0.001 par value; 50,000 shares authorized, and zero and 15,868 shares issued and outstanding as of</w:t>
            </w: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March 31, 2026 and December 31, 2025, respectively</w:t>
            </w:r>
          </w:p>
        </w:tc>
        <w:tc>
          <w:tcPr>
            <w:tcW w:w="15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698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Series AAA convertible preferred stock, $0.001 par value; 40,000 shares authorized, and 1,529 and zero shares issued and outstanding as of</w:t>
            </w: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March 31, 2026 and December 31, 2025, respectively</w:t>
            </w:r>
          </w:p>
        </w:tc>
        <w:tc>
          <w:tcPr>
            <w:tcW w:w="15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698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Common stock Class A, $0.001 par value; 100,000,000 shares authorized, 8,390,140 and 6,534,319 shares issued and outstanding as of</w:t>
            </w: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March 31, 2026 and December 31, 2025, respectively</w:t>
            </w:r>
          </w:p>
        </w:tc>
        <w:tc>
          <w:tcPr>
            <w:tcW w:w="1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19"/>
        </w:trPr>
        <w:tc>
          <w:tcPr>
            <w:tcW w:w="6980" w:type="dxa"/>
            <w:vAlign w:val="bottom"/>
          </w:tcPr>
          <w:p>
            <w:pPr>
              <w:spacing w:after="0" w:line="119" w:lineRule="exact"/>
              <w:rPr>
                <w:sz w:val="20"/>
                <w:szCs w:val="20"/>
                <w:color w:val="auto"/>
              </w:rPr>
            </w:pPr>
            <w:r>
              <w:rPr>
                <w:rFonts w:ascii="Times New Roman" w:cs="Times New Roman" w:eastAsia="Times New Roman" w:hAnsi="Times New Roman"/>
                <w:sz w:val="12"/>
                <w:szCs w:val="12"/>
                <w:color w:val="auto"/>
              </w:rPr>
              <w:t>Common stock Class B, $0.001 par value; 15,000,000 shares authorized, 370,822 shares issued and outstanding as March 31, 2026 and</w:t>
            </w: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December 31, 2025</w:t>
            </w:r>
          </w:p>
        </w:tc>
        <w:tc>
          <w:tcPr>
            <w:tcW w:w="15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6980" w:type="dxa"/>
            <w:vAlign w:val="bottom"/>
          </w:tcPr>
          <w:p>
            <w:pPr>
              <w:spacing w:after="0"/>
              <w:rPr>
                <w:sz w:val="20"/>
                <w:szCs w:val="20"/>
                <w:color w:val="auto"/>
              </w:rPr>
            </w:pPr>
            <w:r>
              <w:rPr>
                <w:rFonts w:ascii="Times New Roman" w:cs="Times New Roman" w:eastAsia="Times New Roman" w:hAnsi="Times New Roman"/>
                <w:sz w:val="12"/>
                <w:szCs w:val="12"/>
                <w:color w:val="auto"/>
              </w:rPr>
              <w:t>Paid-in capital</w:t>
            </w:r>
          </w:p>
        </w:tc>
        <w:tc>
          <w:tcPr>
            <w:tcW w:w="1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79,731</w:t>
            </w:r>
          </w:p>
        </w:tc>
        <w:tc>
          <w:tcPr>
            <w:tcW w:w="0" w:type="dxa"/>
            <w:vAlign w:val="bottom"/>
          </w:tcPr>
          <w:p>
            <w:pPr>
              <w:spacing w:after="0"/>
              <w:rPr>
                <w:sz w:val="1"/>
                <w:szCs w:val="1"/>
                <w:color w:val="auto"/>
              </w:rPr>
            </w:pPr>
          </w:p>
        </w:tc>
      </w:tr>
      <w:tr>
        <w:trPr>
          <w:trHeight w:val="155"/>
        </w:trPr>
        <w:tc>
          <w:tcPr>
            <w:tcW w:w="69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(82,302)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(78,405)</w:t>
            </w:r>
          </w:p>
        </w:tc>
        <w:tc>
          <w:tcPr>
            <w:tcW w:w="0" w:type="dxa"/>
            <w:vAlign w:val="bottom"/>
          </w:tcPr>
          <w:p>
            <w:pPr>
              <w:spacing w:after="0"/>
              <w:rPr>
                <w:sz w:val="1"/>
                <w:szCs w:val="1"/>
                <w:color w:val="auto"/>
              </w:rPr>
            </w:pPr>
          </w:p>
        </w:tc>
      </w:tr>
      <w:tr>
        <w:trPr>
          <w:trHeight w:val="140"/>
        </w:trPr>
        <w:tc>
          <w:tcPr>
            <w:tcW w:w="698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 attributable to CaliberCos Inc.</w:t>
            </w:r>
          </w:p>
        </w:tc>
        <w:tc>
          <w:tcPr>
            <w:tcW w:w="15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w:t>
            </w:r>
          </w:p>
        </w:tc>
        <w:tc>
          <w:tcPr>
            <w:tcW w:w="0" w:type="dxa"/>
            <w:vAlign w:val="bottom"/>
          </w:tcPr>
          <w:p>
            <w:pPr>
              <w:spacing w:after="0"/>
              <w:rPr>
                <w:sz w:val="1"/>
                <w:szCs w:val="1"/>
                <w:color w:val="auto"/>
              </w:rPr>
            </w:pPr>
          </w:p>
        </w:tc>
      </w:tr>
      <w:tr>
        <w:trPr>
          <w:trHeight w:val="155"/>
        </w:trPr>
        <w:tc>
          <w:tcPr>
            <w:tcW w:w="698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 attributable to noncontrolling interests</w:t>
            </w:r>
          </w:p>
        </w:tc>
        <w:tc>
          <w:tcPr>
            <w:tcW w:w="1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37,462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24,898</w:t>
            </w:r>
          </w:p>
        </w:tc>
        <w:tc>
          <w:tcPr>
            <w:tcW w:w="0" w:type="dxa"/>
            <w:vAlign w:val="bottom"/>
          </w:tcPr>
          <w:p>
            <w:pPr>
              <w:spacing w:after="0"/>
              <w:rPr>
                <w:sz w:val="1"/>
                <w:szCs w:val="1"/>
                <w:color w:val="auto"/>
              </w:rPr>
            </w:pPr>
          </w:p>
        </w:tc>
      </w:tr>
      <w:tr>
        <w:trPr>
          <w:trHeight w:val="142"/>
        </w:trPr>
        <w:tc>
          <w:tcPr>
            <w:tcW w:w="69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15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38,715</w:t>
            </w: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26,231</w:t>
            </w:r>
          </w:p>
        </w:tc>
        <w:tc>
          <w:tcPr>
            <w:tcW w:w="0" w:type="dxa"/>
            <w:vAlign w:val="bottom"/>
          </w:tcPr>
          <w:p>
            <w:pPr>
              <w:spacing w:after="0"/>
              <w:rPr>
                <w:sz w:val="1"/>
                <w:szCs w:val="1"/>
                <w:color w:val="auto"/>
              </w:rPr>
            </w:pPr>
          </w:p>
        </w:tc>
      </w:tr>
      <w:tr>
        <w:trPr>
          <w:trHeight w:val="142"/>
        </w:trPr>
        <w:tc>
          <w:tcPr>
            <w:tcW w:w="69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1520" w:type="dxa"/>
            <w:vAlign w:val="bottom"/>
            <w:tcBorders>
              <w:bottom w:val="single" w:sz="8" w:color="auto"/>
            </w:tcBorders>
          </w:tcPr>
          <w:p>
            <w:pPr>
              <w:jc w:val="right"/>
              <w:ind w:right="140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179,594</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135,396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220"/>
          </w:cols>
          <w:pgMar w:left="300" w:top="1106"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252525"/>
        </w:rPr>
        <w:t>Definitions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Assets Under Management</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AUM refers to the assets we manage or sponsor. We monitor two types of information with regard to our AUM:</w:t>
      </w:r>
    </w:p>
    <w:p>
      <w:pPr>
        <w:spacing w:after="0" w:line="172" w:lineRule="exact"/>
        <w:rPr>
          <w:sz w:val="20"/>
          <w:szCs w:val="20"/>
          <w:color w:val="auto"/>
        </w:rPr>
      </w:pPr>
    </w:p>
    <w:p>
      <w:pPr>
        <w:jc w:val="both"/>
        <w:ind w:left="420" w:hanging="212"/>
        <w:spacing w:after="0" w:line="268" w:lineRule="auto"/>
        <w:tabs>
          <w:tab w:leader="none" w:pos="41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Managed Capital – we define this as the total capital we fundraise from our customers as investments in our funds. It also includes fundraising into our corporate note program, the proceeds of which were used, in part, to invest in or loan to our funds. We use this information to monitor, among other things, the amount of ‘preferred return’ that would be paid at the time of a distribution and the potential to earn a performance fee over and above the preferred return at the time of the distribution. Our fund management fees are based on a percentage of managed capital or a percentage of assets under management, and monitoring the change and composition of managed capital provides relevant data points for Caliber management to further calculate and predict future earnings.</w:t>
      </w:r>
    </w:p>
    <w:p>
      <w:pPr>
        <w:spacing w:after="0" w:line="127" w:lineRule="exact"/>
        <w:rPr>
          <w:rFonts w:ascii="Times New Roman" w:cs="Times New Roman" w:eastAsia="Times New Roman" w:hAnsi="Times New Roman"/>
          <w:sz w:val="14"/>
          <w:szCs w:val="14"/>
          <w:color w:val="auto"/>
        </w:rPr>
      </w:pPr>
    </w:p>
    <w:p>
      <w:pPr>
        <w:jc w:val="both"/>
        <w:ind w:left="420" w:hanging="212"/>
        <w:spacing w:after="0" w:line="268" w:lineRule="auto"/>
        <w:tabs>
          <w:tab w:leader="none" w:pos="41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52525"/>
        </w:rPr>
        <w:t>Non-GAAP Measures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52525"/>
        </w:rPr>
        <w:t>We use non-GAAP financial measures to evaluate operating performance, identify trends, formulate financial projections, make strategic decisions, and for other discretionary purposes. We believe that these measures enhance the understanding of ongoing operations and comparability of current results to prior periods and may be useful for investors to analyze our financial performance because they provide investors a view of the performance attributable to CaliberCos Inc. When analyzing our operating performance, investors should use these measures in addition to, and not as an alternative for, their most directly comparable financial measure calculated and presented in accordance with U.S. GAAP. Our presentation of non-GAAP measures may not be comparable to similarly identified measures of other companies because not all companies use the same calculations.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0"/>
          </w:cols>
          <w:pgMar w:left="300" w:top="1100"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color w:val="252525"/>
        </w:rPr>
        <w:t>Asset Management Platform or Platform</w:t>
      </w:r>
    </w:p>
    <w:p>
      <w:pPr>
        <w:spacing w:after="0" w:line="16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252525"/>
        </w:rPr>
        <w:t>Platform refers to the performance of the Caliber asset management platform, which generates revenues and expenses from managing our investment portfolio, which does not include any consolidated assets or funds. These activities include asset management, transaction services, and performance allocations. Management believes that this is an important view of the Company because it communicates performance of the Company that would be most useful for understanding the value of CWD.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Fee-Related Earnings and Related Components</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252525"/>
        </w:rPr>
        <w:t>Fee-Related Earnings is a supplemental non-GAAP performance measure used to assess our ability to generate profits from fee-based revenues, focusing on whether our core revenue streams, are sufficient to cover our core operating expenses. Fee- Related Earnings represents the Company’s net income (loss) before income taxes adjusted to exclude depreciation and amortization, stock-based compensation, interest expense and extraordinary or non-recurring revenue and expenses, including performance allocation revenue and gain (loss) on extinguishment of debt, public registration direct costs related to aborted or delayed offerings and our Reg A+ offering, litigation settlements, and expenses recorded to earnings relating to investment deals which were abandoned or closed. Fee-Related Earnings is presented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Distributable Earnings</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252525"/>
        </w:rPr>
        <w:t>Distributable Earnings is a supplemental non-GAAP performance measure equal to Fee-Related Earnings plus performance allocation revenue and less interest expenses and provision for income taxes. We believe that Distributable Earnings can be useful as a supplemental performance measure to our GAAP results assessing the amount of earnings available for distribution.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Platform Earnings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252525"/>
        </w:rPr>
        <w:t>Platform Earnings represents the performance of our asset management platform, which generates revenues and expenses from managing our investment portfolio, excluding any consolidated assets or funds.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Platform Earnings per Share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52525"/>
        </w:rPr>
        <w:t>Platform Earnings per Share is calculated as Platform Earnings divided by weighted average CWD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983"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color w:val="252525"/>
        </w:rPr>
        <w:t>Platform Adjusted EBITDA</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252525"/>
        </w:rPr>
        <w:t>Platform Adjusted EBITDA represents our Distributable Earnings adjusted for interest expense, other income (expense), and provision for income taxes on a basis that deconsolidates our consolidated funds (intercompany eliminations), and eliminates noncontrolling interest. Eliminating the impact of consolidated funds and noncontrolling interest provides investors a view of the performance attributable to the Platform and is consistent with performance models and analysis used by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52525"/>
        </w:rPr>
        <w:t>Consolidated Adjusted EBITDA</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252525"/>
        </w:rPr>
        <w:t>Consolidated Adjusted EBITDA represents the Company’s and the consolidated funds’ earnings before net interest expense, income taxes, depreciation and amortization, further adjusted to exclude stock-based compensation, transaction fees, expenses and other public registration direct costs related to aborted or delayed offerings and our Reg A+ offering, litigation settlements, expenses recorded to earnings relating to investment deals which were abandoned or closed, any other non-cash expenses or losses, as further adjusted for extraordinary or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983"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color w:val="auto"/>
        </w:rPr>
        <w:t>NON-GAAP ADJUSTED EBITDA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(AMOUNTS IN THOUSANDS) (UNAUDITED)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716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160" w:type="dxa"/>
            <w:vAlign w:val="bottom"/>
            <w:tcBorders>
              <w:bottom w:val="single" w:sz="8" w:color="auto"/>
            </w:tcBorders>
          </w:tcPr>
          <w:p>
            <w:pPr>
              <w:spacing w:after="0"/>
              <w:rPr>
                <w:sz w:val="13"/>
                <w:szCs w:val="13"/>
                <w:color w:val="auto"/>
              </w:rPr>
            </w:pPr>
          </w:p>
        </w:tc>
      </w:tr>
      <w:tr>
        <w:trPr>
          <w:trHeight w:val="151"/>
        </w:trPr>
        <w:tc>
          <w:tcPr>
            <w:tcW w:w="7160" w:type="dxa"/>
            <w:vAlign w:val="bottom"/>
          </w:tcPr>
          <w:p>
            <w:pPr>
              <w:spacing w:after="0"/>
              <w:rPr>
                <w:sz w:val="13"/>
                <w:szCs w:val="13"/>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0"/>
        </w:trPr>
        <w:tc>
          <w:tcPr>
            <w:tcW w:w="7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attributable to CaliberCos Inc.</w:t>
            </w:r>
          </w:p>
        </w:tc>
        <w:tc>
          <w:tcPr>
            <w:tcW w:w="1160" w:type="dxa"/>
            <w:vAlign w:val="bottom"/>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(3,619)</w:t>
            </w:r>
          </w:p>
        </w:tc>
        <w:tc>
          <w:tcPr>
            <w:tcW w:w="140" w:type="dxa"/>
            <w:vAlign w:val="bottom"/>
          </w:tcPr>
          <w:p>
            <w:pPr>
              <w:spacing w:after="0"/>
              <w:rPr>
                <w:sz w:val="12"/>
                <w:szCs w:val="12"/>
                <w:color w:val="auto"/>
              </w:rPr>
            </w:pP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(4,407)</w:t>
            </w:r>
          </w:p>
        </w:tc>
      </w:tr>
      <w:tr>
        <w:trPr>
          <w:trHeight w:val="155"/>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loss attributable to noncontrolling interests</w:t>
            </w:r>
          </w:p>
        </w:tc>
        <w:tc>
          <w:tcPr>
            <w:tcW w:w="1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1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40"/>
        </w:trPr>
        <w:tc>
          <w:tcPr>
            <w:tcW w:w="7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(5,931)</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(4,554)</w:t>
            </w:r>
          </w:p>
        </w:tc>
      </w:tr>
      <w:tr>
        <w:trPr>
          <w:trHeight w:val="155"/>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16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7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before income taxes</w:t>
            </w:r>
          </w:p>
        </w:tc>
        <w:tc>
          <w:tcPr>
            <w:tcW w:w="1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(5,931)</w:t>
            </w: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(4,554)</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Consolidated funds' impact on fee-related earnings</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1,423</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Severance</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Performance allocations</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income, net</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Investments impairment</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Change in fair value of digital assets</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1,896</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Bad debt expense</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55"/>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Interest expense, net</w:t>
            </w:r>
          </w:p>
        </w:tc>
        <w:tc>
          <w:tcPr>
            <w:tcW w:w="1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1,135</w:t>
            </w:r>
          </w:p>
        </w:tc>
        <w:tc>
          <w:tcPr>
            <w:tcW w:w="1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1,578</w:t>
            </w:r>
          </w:p>
        </w:tc>
      </w:tr>
      <w:tr>
        <w:trPr>
          <w:trHeight w:val="140"/>
        </w:trPr>
        <w:tc>
          <w:tcPr>
            <w:tcW w:w="7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Fee-related earnings</w:t>
            </w:r>
          </w:p>
        </w:tc>
        <w:tc>
          <w:tcPr>
            <w:tcW w:w="1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Performance allocations</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49"/>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Interest expense, net</w:t>
            </w:r>
          </w:p>
        </w:tc>
        <w:tc>
          <w:tcPr>
            <w:tcW w:w="1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(1,135)</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(1,578)</w:t>
            </w:r>
          </w:p>
        </w:tc>
      </w:tr>
      <w:tr>
        <w:trPr>
          <w:trHeight w:val="157"/>
        </w:trPr>
        <w:tc>
          <w:tcPr>
            <w:tcW w:w="7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Distributable earnings</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(2,961)</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Interest expense</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1,611</w:t>
            </w:r>
          </w:p>
        </w:tc>
      </w:tr>
      <w:tr>
        <w:trPr>
          <w:trHeight w:val="153"/>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income, net</w:t>
            </w:r>
          </w:p>
        </w:tc>
        <w:tc>
          <w:tcPr>
            <w:tcW w:w="1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r>
      <w:tr>
        <w:trPr>
          <w:trHeight w:val="155"/>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Consolidated funds' impact on Platform adjusted EBITDA</w:t>
            </w:r>
          </w:p>
        </w:tc>
        <w:tc>
          <w:tcPr>
            <w:tcW w:w="1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w:t>
            </w:r>
          </w:p>
        </w:tc>
      </w:tr>
      <w:tr>
        <w:trPr>
          <w:trHeight w:val="140"/>
        </w:trPr>
        <w:tc>
          <w:tcPr>
            <w:tcW w:w="7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Platform adjusted EBITDA</w:t>
            </w:r>
          </w:p>
        </w:tc>
        <w:tc>
          <w:tcPr>
            <w:tcW w:w="1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(1,352)</w:t>
            </w:r>
          </w:p>
        </w:tc>
      </w:tr>
      <w:tr>
        <w:trPr>
          <w:trHeight w:val="155"/>
        </w:trPr>
        <w:tc>
          <w:tcPr>
            <w:tcW w:w="7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Consolidated funds' EBITDA adjustments</w:t>
            </w:r>
          </w:p>
        </w:tc>
        <w:tc>
          <w:tcPr>
            <w:tcW w:w="1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1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1,210</w:t>
            </w:r>
          </w:p>
        </w:tc>
      </w:tr>
      <w:tr>
        <w:trPr>
          <w:trHeight w:val="142"/>
        </w:trPr>
        <w:tc>
          <w:tcPr>
            <w:tcW w:w="7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adjusted EBITDA</w:t>
            </w:r>
          </w:p>
        </w:tc>
        <w:tc>
          <w:tcPr>
            <w:tcW w:w="116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20"/>
        </w:trPr>
        <w:tc>
          <w:tcPr>
            <w:tcW w:w="7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260"/>
          </w:cols>
          <w:pgMar w:left="300" w:top="1313" w:right="339"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9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2026-05-13T16:11:44Z</dcterms:created>
  <dcterms:modified xsi:type="dcterms:W3CDTF">2026-05-13T16:11:44Z</dcterms:modified>
</cp:coreProperties>
</file>