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21,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21, 2026, CaliberCos Inc. (the “Company” or “Caliber”) received a letter from the Listing Qualifications Staff (the “Staff”) of the Nasdaq Stock Market LLC (“Nasdaq”) indicating that the bid price of the Company’s Class A common stock, par value $0.001 per share (the “Common Stock”), had closed below $1.00 per share for 33 consecutive business days and, as a result, the Company is not in compliance with Nasdaq Listing Rule 5550(a)(2), which sets forth the minimum bid price requirement for continued listing on the Nasdaq Capital Market (the “Minimum Bid Requirement”).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Nasdaq’s notice has no immediate effect on the listing of the Company’s Common Stock on Nasdaq. Pursuant to Nasdaq Listing Rule 5810(c)(3)(A), the Company was afforded a 180-calendar day grace period, through February 17, 2027, to regain compliance with the bid price requirement. Compliance can be achieved by evidencing a closing bid price of at least $1.00 per share for a minimum of ten consecutive business days during the 180-calendar day grace period.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does not regain compliance with the bid price requirement by February 17, 2027, the Company may be eligible for an additional 180-calendar day compliance period so long as it satisfies the criteria for initial listing on the Nasdaq Capital Market and the continued listing requirement for market value of publicly held shares and the Company provides written notice to Nasdaq of its intention to cure the deficiency during the second compliance period by effecting a reverse stock split, if necessary. In the event the Company is not eligible for the second grace period, the Nasdaq staff will provide written notice that the Common Stock is subject to delisting; however, the Company may request a hearing before the Nasdaq Hearings Panel (the “Panel”), which request, if timely made, would stay any further suspension or delisting action by the Staff pending the conclusion of the hearing process and expiration of any extension that may be granted by the Panel. There can be no assurance that the Company would be successful in its efforts to maintain the Nasdaq listing. If the Common Stock ceases to be listed for trading on the Nasdaq Capital Market, the Company would expect that the Common Stock would be traded on one of the three tiered marketplaces of the OTC Markets Group.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intends to closely monitor the closing bid price of the Common Stock and consider all available options to remedy the bid price deficiency to regain compliance with the Minimum Bid Requirement.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92" w:type="dxa"/>
        <w:jc w:val="left"/>
        <w:tblInd w:w="0" w:type="dxa"/>
        <w:tblLayout w:type="fixed"/>
        <w:tblCellMar>
          <w:top w:w="28" w:type="dxa"/>
          <w:left w:w="28" w:type="dxa"/>
          <w:bottom w:w="28" w:type="dxa"/>
          <w:right w:w="28" w:type="dxa"/>
        </w:tblCellMar>
      </w:tblPr>
      <w:tblGrid>
        <w:gridCol w:w="705"/>
        <w:gridCol w:w="621"/>
        <w:gridCol w:w="624"/>
        <w:gridCol w:w="229"/>
        <w:gridCol w:w="229"/>
        <w:gridCol w:w="229"/>
        <w:gridCol w:w="948"/>
        <w:gridCol w:w="948"/>
        <w:gridCol w:w="135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4187</Characters>
  <CharactersWithSpaces>4926</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